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09" w:rsidRPr="00A906AF" w:rsidRDefault="00391B09" w:rsidP="00391B09">
      <w:pPr>
        <w:spacing w:after="0" w:line="240" w:lineRule="auto"/>
        <w:ind w:left="426" w:right="822" w:hanging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Коначна </w:t>
      </w:r>
      <w:r w:rsidRPr="00A90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06AF">
        <w:rPr>
          <w:rFonts w:ascii="Times New Roman" w:hAnsi="Times New Roman" w:cs="Times New Roman"/>
          <w:b/>
          <w:bCs/>
          <w:sz w:val="28"/>
          <w:szCs w:val="28"/>
        </w:rPr>
        <w:t>листа</w:t>
      </w:r>
      <w:proofErr w:type="spellEnd"/>
      <w:r w:rsidRPr="00A90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06AF">
        <w:rPr>
          <w:rFonts w:ascii="Times New Roman" w:hAnsi="Times New Roman" w:cs="Times New Roman"/>
          <w:b/>
          <w:bCs/>
          <w:sz w:val="28"/>
          <w:szCs w:val="28"/>
        </w:rPr>
        <w:t>изабраних</w:t>
      </w:r>
      <w:proofErr w:type="spellEnd"/>
      <w:r w:rsidRPr="00A90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06AF">
        <w:rPr>
          <w:rFonts w:ascii="Times New Roman" w:hAnsi="Times New Roman" w:cs="Times New Roman"/>
          <w:b/>
          <w:bCs/>
          <w:sz w:val="28"/>
          <w:szCs w:val="28"/>
        </w:rPr>
        <w:t>пројеката</w:t>
      </w:r>
      <w:proofErr w:type="spellEnd"/>
      <w:r w:rsidRPr="00A90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1B09" w:rsidRPr="00AC3064" w:rsidRDefault="00391B09" w:rsidP="00391B09">
      <w:pPr>
        <w:spacing w:after="0" w:line="240" w:lineRule="auto"/>
        <w:ind w:left="426" w:right="822" w:hanging="4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3064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r w:rsidRPr="00AC3064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авном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недостајућег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AC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064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AC30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C3064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</w:p>
    <w:p w:rsidR="00391B09" w:rsidRPr="000201F7" w:rsidRDefault="00391B09" w:rsidP="00391B09">
      <w:pPr>
        <w:ind w:left="426" w:right="822" w:hanging="426"/>
        <w:rPr>
          <w:rFonts w:ascii="Times New Roman" w:hAnsi="Times New Roman" w:cs="Times New Roman"/>
          <w:sz w:val="24"/>
          <w:szCs w:val="24"/>
        </w:rPr>
      </w:pPr>
    </w:p>
    <w:p w:rsidR="00391B09" w:rsidRDefault="00391B09" w:rsidP="00391B09">
      <w:pPr>
        <w:pStyle w:val="NoSpacing"/>
        <w:tabs>
          <w:tab w:val="left" w:pos="9090"/>
        </w:tabs>
        <w:ind w:left="426" w:right="822" w:hanging="426"/>
        <w:jc w:val="both"/>
        <w:rPr>
          <w:szCs w:val="24"/>
        </w:rPr>
      </w:pPr>
      <w:r>
        <w:rPr>
          <w:b/>
          <w:szCs w:val="24"/>
          <w:lang w:val="sr-Cyrl-RS"/>
        </w:rPr>
        <w:t xml:space="preserve">         </w:t>
      </w:r>
      <w:r w:rsidRPr="000201F7">
        <w:rPr>
          <w:b/>
          <w:szCs w:val="24"/>
        </w:rPr>
        <w:t xml:space="preserve">ОДОБРАВАЈУ СЕ </w:t>
      </w:r>
      <w:proofErr w:type="spellStart"/>
      <w:r w:rsidRPr="000201F7">
        <w:rPr>
          <w:szCs w:val="24"/>
        </w:rPr>
        <w:t>средства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из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буџет</w:t>
      </w:r>
      <w:r>
        <w:rPr>
          <w:szCs w:val="24"/>
        </w:rPr>
        <w:t>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Општине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Рача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спроведеном</w:t>
      </w:r>
      <w:proofErr w:type="spellEnd"/>
      <w:r>
        <w:rPr>
          <w:szCs w:val="24"/>
        </w:rPr>
        <w:t xml:space="preserve"> </w:t>
      </w:r>
      <w:r>
        <w:rPr>
          <w:szCs w:val="24"/>
          <w:lang w:val="sr-Cyrl-RS"/>
        </w:rPr>
        <w:t>Ј</w:t>
      </w:r>
      <w:proofErr w:type="spellStart"/>
      <w:r w:rsidRPr="000201F7">
        <w:rPr>
          <w:szCs w:val="24"/>
        </w:rPr>
        <w:t>авном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конкурсу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за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избор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пројеката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који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се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финансирају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или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суфинансирају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средствима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из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буџета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Општине</w:t>
      </w:r>
      <w:proofErr w:type="spellEnd"/>
      <w:r w:rsidRPr="000201F7">
        <w:rPr>
          <w:szCs w:val="24"/>
        </w:rPr>
        <w:t xml:space="preserve"> </w:t>
      </w:r>
      <w:r w:rsidRPr="000201F7">
        <w:rPr>
          <w:szCs w:val="24"/>
          <w:lang w:val="sr-Cyrl-CS"/>
        </w:rPr>
        <w:t xml:space="preserve">Рача </w:t>
      </w:r>
      <w:proofErr w:type="spellStart"/>
      <w:r w:rsidRPr="000201F7">
        <w:rPr>
          <w:szCs w:val="24"/>
        </w:rPr>
        <w:t>за</w:t>
      </w:r>
      <w:proofErr w:type="spellEnd"/>
      <w:r w:rsidRPr="000201F7">
        <w:rPr>
          <w:szCs w:val="24"/>
        </w:rPr>
        <w:t xml:space="preserve"> 20</w:t>
      </w:r>
      <w:r>
        <w:rPr>
          <w:szCs w:val="24"/>
        </w:rPr>
        <w:t>25</w:t>
      </w:r>
      <w:r w:rsidRPr="000201F7">
        <w:rPr>
          <w:szCs w:val="24"/>
        </w:rPr>
        <w:t xml:space="preserve">. </w:t>
      </w:r>
      <w:proofErr w:type="spellStart"/>
      <w:proofErr w:type="gramStart"/>
      <w:r w:rsidRPr="000201F7">
        <w:rPr>
          <w:szCs w:val="24"/>
        </w:rPr>
        <w:t>годину</w:t>
      </w:r>
      <w:proofErr w:type="spellEnd"/>
      <w:proofErr w:type="gramEnd"/>
      <w:r w:rsidRPr="000201F7">
        <w:rPr>
          <w:szCs w:val="24"/>
        </w:rPr>
        <w:t xml:space="preserve">, </w:t>
      </w:r>
      <w:proofErr w:type="spellStart"/>
      <w:r w:rsidRPr="000201F7">
        <w:rPr>
          <w:szCs w:val="24"/>
        </w:rPr>
        <w:t>расписаном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дана</w:t>
      </w:r>
      <w:proofErr w:type="spellEnd"/>
      <w:r w:rsidRPr="000201F7">
        <w:rPr>
          <w:szCs w:val="24"/>
        </w:rPr>
        <w:t xml:space="preserve"> </w:t>
      </w:r>
      <w:r>
        <w:rPr>
          <w:szCs w:val="24"/>
          <w:lang w:val="sr-Cyrl-RS"/>
        </w:rPr>
        <w:t>13.08.2025</w:t>
      </w:r>
      <w:r>
        <w:rPr>
          <w:szCs w:val="24"/>
        </w:rPr>
        <w:t>.</w:t>
      </w:r>
      <w:r w:rsidRPr="000201F7">
        <w:rPr>
          <w:szCs w:val="24"/>
        </w:rPr>
        <w:t xml:space="preserve"> </w:t>
      </w:r>
      <w:r w:rsidRPr="000201F7">
        <w:rPr>
          <w:szCs w:val="24"/>
          <w:lang w:val="sr-Cyrl-CS"/>
        </w:rPr>
        <w:t>г</w:t>
      </w:r>
      <w:proofErr w:type="spellStart"/>
      <w:r w:rsidRPr="000201F7">
        <w:rPr>
          <w:szCs w:val="24"/>
        </w:rPr>
        <w:t>одине</w:t>
      </w:r>
      <w:proofErr w:type="spellEnd"/>
      <w:r w:rsidRPr="000201F7">
        <w:rPr>
          <w:szCs w:val="24"/>
        </w:rPr>
        <w:t xml:space="preserve">,  </w:t>
      </w:r>
      <w:proofErr w:type="spellStart"/>
      <w:r w:rsidRPr="000201F7">
        <w:rPr>
          <w:szCs w:val="24"/>
        </w:rPr>
        <w:t>доле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наведеним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удружењима-корисницима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средстава</w:t>
      </w:r>
      <w:proofErr w:type="spellEnd"/>
      <w:r w:rsidRPr="000201F7">
        <w:rPr>
          <w:szCs w:val="24"/>
        </w:rPr>
        <w:t xml:space="preserve">, </w:t>
      </w:r>
      <w:proofErr w:type="spellStart"/>
      <w:r w:rsidRPr="000201F7">
        <w:rPr>
          <w:szCs w:val="24"/>
        </w:rPr>
        <w:t>како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је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приказано</w:t>
      </w:r>
      <w:proofErr w:type="spellEnd"/>
      <w:r w:rsidRPr="000201F7">
        <w:rPr>
          <w:szCs w:val="24"/>
        </w:rPr>
        <w:t xml:space="preserve"> у </w:t>
      </w:r>
      <w:proofErr w:type="spellStart"/>
      <w:r w:rsidRPr="000201F7">
        <w:rPr>
          <w:szCs w:val="24"/>
        </w:rPr>
        <w:t>следећој</w:t>
      </w:r>
      <w:proofErr w:type="spellEnd"/>
      <w:r w:rsidRPr="000201F7">
        <w:rPr>
          <w:szCs w:val="24"/>
        </w:rPr>
        <w:t xml:space="preserve"> </w:t>
      </w:r>
      <w:proofErr w:type="spellStart"/>
      <w:r w:rsidRPr="000201F7">
        <w:rPr>
          <w:szCs w:val="24"/>
        </w:rPr>
        <w:t>табели</w:t>
      </w:r>
      <w:proofErr w:type="spellEnd"/>
      <w:r w:rsidRPr="000201F7">
        <w:rPr>
          <w:szCs w:val="24"/>
        </w:rPr>
        <w:t xml:space="preserve">: </w:t>
      </w:r>
    </w:p>
    <w:tbl>
      <w:tblPr>
        <w:tblStyle w:val="TableGrid"/>
        <w:tblpPr w:leftFromText="180" w:rightFromText="180" w:vertAnchor="text" w:horzAnchor="page" w:tblpX="292" w:tblpY="-1558"/>
        <w:tblW w:w="997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1134"/>
        <w:gridCol w:w="1417"/>
        <w:gridCol w:w="1650"/>
        <w:gridCol w:w="242"/>
        <w:gridCol w:w="7"/>
      </w:tblGrid>
      <w:tr w:rsidR="00391B09" w:rsidRPr="0005622D" w:rsidTr="004C47EE">
        <w:trPr>
          <w:trHeight w:val="476"/>
        </w:trPr>
        <w:tc>
          <w:tcPr>
            <w:tcW w:w="704" w:type="dxa"/>
            <w:vAlign w:val="center"/>
          </w:tcPr>
          <w:p w:rsidR="00391B09" w:rsidRPr="00CB57AA" w:rsidRDefault="00391B09" w:rsidP="009F30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RS"/>
              </w:rPr>
              <w:lastRenderedPageBreak/>
              <w:t>Р</w:t>
            </w:r>
            <w:proofErr w:type="spellStart"/>
            <w:r w:rsidR="004C47EE">
              <w:rPr>
                <w:b/>
                <w:sz w:val="22"/>
                <w:szCs w:val="22"/>
              </w:rPr>
              <w:t>ед</w:t>
            </w:r>
            <w:proofErr w:type="spellEnd"/>
            <w:r w:rsidR="004C47EE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CB57AA">
              <w:rPr>
                <w:b/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2552" w:type="dxa"/>
            <w:vAlign w:val="center"/>
          </w:tcPr>
          <w:p w:rsidR="00391B09" w:rsidRDefault="00391B09" w:rsidP="00280C48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Назив подносиоца</w:t>
            </w:r>
          </w:p>
          <w:p w:rsidR="00280C48" w:rsidRDefault="00280C48" w:rsidP="00280C48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280C48" w:rsidRDefault="00280C48" w:rsidP="00280C48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280C48" w:rsidRPr="00832AC3" w:rsidRDefault="00280C48" w:rsidP="00280C48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68" w:type="dxa"/>
          </w:tcPr>
          <w:p w:rsidR="00280C48" w:rsidRDefault="00280C48" w:rsidP="00280C48">
            <w:pPr>
              <w:jc w:val="center"/>
              <w:rPr>
                <w:b/>
                <w:sz w:val="22"/>
                <w:szCs w:val="22"/>
              </w:rPr>
            </w:pPr>
          </w:p>
          <w:p w:rsidR="00391B09" w:rsidRPr="00CB57AA" w:rsidRDefault="00391B09" w:rsidP="00280C48">
            <w:pPr>
              <w:rPr>
                <w:b/>
                <w:sz w:val="22"/>
                <w:szCs w:val="22"/>
              </w:rPr>
            </w:pPr>
            <w:proofErr w:type="spellStart"/>
            <w:r w:rsidRPr="00CB57AA">
              <w:rPr>
                <w:b/>
                <w:sz w:val="22"/>
                <w:szCs w:val="22"/>
              </w:rPr>
              <w:t>Назив</w:t>
            </w:r>
            <w:proofErr w:type="spellEnd"/>
            <w:r w:rsidRPr="00CB57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B57AA">
              <w:rPr>
                <w:b/>
                <w:sz w:val="22"/>
                <w:szCs w:val="22"/>
              </w:rPr>
              <w:t>пројекта</w:t>
            </w:r>
            <w:proofErr w:type="spellEnd"/>
          </w:p>
        </w:tc>
        <w:tc>
          <w:tcPr>
            <w:tcW w:w="1134" w:type="dxa"/>
            <w:vAlign w:val="center"/>
          </w:tcPr>
          <w:p w:rsidR="00391B09" w:rsidRDefault="00391B09" w:rsidP="009F302F">
            <w:pPr>
              <w:rPr>
                <w:b/>
                <w:sz w:val="22"/>
                <w:szCs w:val="22"/>
                <w:lang w:val="sr-Cyrl-RS"/>
              </w:rPr>
            </w:pPr>
            <w:r w:rsidRPr="00CB57AA">
              <w:rPr>
                <w:b/>
                <w:sz w:val="22"/>
                <w:szCs w:val="22"/>
                <w:lang w:val="sr-Cyrl-RS"/>
              </w:rPr>
              <w:t>Укупан број бодова</w:t>
            </w:r>
          </w:p>
          <w:p w:rsidR="00280C48" w:rsidRPr="00CB57AA" w:rsidRDefault="00280C48" w:rsidP="009F302F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:rsidR="00391B09" w:rsidRDefault="00391B09" w:rsidP="009F302F">
            <w:pPr>
              <w:rPr>
                <w:b/>
                <w:sz w:val="22"/>
                <w:szCs w:val="22"/>
                <w:lang w:val="sr-Cyrl-RS"/>
              </w:rPr>
            </w:pPr>
          </w:p>
          <w:p w:rsidR="00391B09" w:rsidRPr="00CB57AA" w:rsidRDefault="00391B09" w:rsidP="009F302F">
            <w:pPr>
              <w:rPr>
                <w:b/>
                <w:sz w:val="22"/>
                <w:szCs w:val="22"/>
              </w:rPr>
            </w:pPr>
            <w:r w:rsidRPr="00CB57AA">
              <w:rPr>
                <w:b/>
                <w:sz w:val="22"/>
                <w:szCs w:val="22"/>
                <w:lang w:val="sr-Cyrl-RS"/>
              </w:rPr>
              <w:t>Д</w:t>
            </w:r>
            <w:proofErr w:type="spellStart"/>
            <w:r w:rsidRPr="00CB57AA">
              <w:rPr>
                <w:b/>
                <w:sz w:val="22"/>
                <w:szCs w:val="22"/>
              </w:rPr>
              <w:t>одељени</w:t>
            </w:r>
            <w:proofErr w:type="spellEnd"/>
            <w:r w:rsidRPr="00CB57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B57AA">
              <w:rPr>
                <w:b/>
                <w:sz w:val="22"/>
                <w:szCs w:val="22"/>
              </w:rPr>
              <w:t>износ</w:t>
            </w:r>
            <w:proofErr w:type="spellEnd"/>
            <w:r w:rsidRPr="00CB57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B57AA">
              <w:rPr>
                <w:b/>
                <w:sz w:val="22"/>
                <w:szCs w:val="22"/>
              </w:rPr>
              <w:t>средстава</w:t>
            </w:r>
            <w:proofErr w:type="spellEnd"/>
            <w:r w:rsidRPr="00CB57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B57AA">
              <w:rPr>
                <w:b/>
                <w:sz w:val="22"/>
                <w:szCs w:val="22"/>
              </w:rPr>
              <w:t>за</w:t>
            </w:r>
            <w:proofErr w:type="spellEnd"/>
            <w:r w:rsidRPr="00CB57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B57AA">
              <w:rPr>
                <w:b/>
                <w:sz w:val="22"/>
                <w:szCs w:val="22"/>
              </w:rPr>
              <w:t>фининсирање</w:t>
            </w:r>
            <w:proofErr w:type="spellEnd"/>
            <w:r w:rsidRPr="00CB57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B57AA">
              <w:rPr>
                <w:b/>
                <w:sz w:val="22"/>
                <w:szCs w:val="22"/>
              </w:rPr>
              <w:t>из</w:t>
            </w:r>
            <w:proofErr w:type="spellEnd"/>
            <w:r w:rsidRPr="00CB57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B57AA">
              <w:rPr>
                <w:b/>
                <w:sz w:val="22"/>
                <w:szCs w:val="22"/>
              </w:rPr>
              <w:t>буџета</w:t>
            </w:r>
            <w:proofErr w:type="spellEnd"/>
            <w:r w:rsidRPr="00CB57AA">
              <w:rPr>
                <w:b/>
                <w:sz w:val="22"/>
                <w:szCs w:val="22"/>
              </w:rPr>
              <w:t xml:space="preserve"> ЈЛС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391B09" w:rsidRDefault="00391B09" w:rsidP="009F302F">
            <w:pPr>
              <w:jc w:val="center"/>
              <w:rPr>
                <w:rFonts w:eastAsia="Calibri"/>
                <w:b/>
                <w:sz w:val="22"/>
                <w:szCs w:val="22"/>
                <w:lang w:val="sr-Cyrl-RS"/>
              </w:rPr>
            </w:pPr>
          </w:p>
          <w:p w:rsidR="00391B09" w:rsidRPr="00CB57AA" w:rsidRDefault="00391B09" w:rsidP="009F302F">
            <w:pPr>
              <w:jc w:val="center"/>
              <w:rPr>
                <w:b/>
                <w:sz w:val="22"/>
                <w:szCs w:val="22"/>
              </w:rPr>
            </w:pPr>
            <w:r w:rsidRPr="00CB57AA">
              <w:rPr>
                <w:rFonts w:eastAsia="Calibri"/>
                <w:b/>
                <w:sz w:val="22"/>
                <w:szCs w:val="22"/>
                <w:lang w:val="sr-Cyrl-RS"/>
              </w:rPr>
              <w:t>Износ средстава којима ће се суфинансирати пројекат</w:t>
            </w:r>
          </w:p>
        </w:tc>
        <w:tc>
          <w:tcPr>
            <w:tcW w:w="2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B09" w:rsidRPr="00CB57AA" w:rsidRDefault="00391B09" w:rsidP="009F30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1B09" w:rsidRPr="0005622D" w:rsidTr="004C47EE">
        <w:trPr>
          <w:trHeight w:val="1993"/>
        </w:trPr>
        <w:tc>
          <w:tcPr>
            <w:tcW w:w="704" w:type="dxa"/>
          </w:tcPr>
          <w:p w:rsidR="00391B09" w:rsidRPr="0005622D" w:rsidRDefault="00391B09" w:rsidP="009F302F">
            <w:pPr>
              <w:jc w:val="center"/>
              <w:rPr>
                <w:sz w:val="22"/>
                <w:szCs w:val="22"/>
              </w:rPr>
            </w:pPr>
          </w:p>
          <w:p w:rsidR="00391B09" w:rsidRPr="0005622D" w:rsidRDefault="00391B09" w:rsidP="009F302F">
            <w:pPr>
              <w:jc w:val="center"/>
              <w:rPr>
                <w:sz w:val="22"/>
                <w:szCs w:val="22"/>
              </w:rPr>
            </w:pPr>
          </w:p>
          <w:p w:rsidR="00391B09" w:rsidRPr="0005622D" w:rsidRDefault="00391B09" w:rsidP="009F302F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391B09" w:rsidRPr="00CB57AA" w:rsidRDefault="00391B09" w:rsidP="004C47EE">
            <w:pPr>
              <w:jc w:val="center"/>
              <w:rPr>
                <w:sz w:val="22"/>
                <w:szCs w:val="22"/>
              </w:rPr>
            </w:pPr>
            <w:proofErr w:type="spellStart"/>
            <w:r w:rsidRPr="00CB57AA">
              <w:rPr>
                <w:sz w:val="22"/>
                <w:szCs w:val="22"/>
              </w:rPr>
              <w:t>Друштво</w:t>
            </w:r>
            <w:proofErr w:type="spellEnd"/>
            <w:r w:rsidRPr="00CB57AA">
              <w:rPr>
                <w:sz w:val="22"/>
                <w:szCs w:val="22"/>
              </w:rPr>
              <w:t xml:space="preserve"> </w:t>
            </w:r>
            <w:proofErr w:type="spellStart"/>
            <w:r w:rsidRPr="00CB57AA">
              <w:rPr>
                <w:sz w:val="22"/>
                <w:szCs w:val="22"/>
              </w:rPr>
              <w:t>пчелара</w:t>
            </w:r>
            <w:proofErr w:type="spellEnd"/>
            <w:r w:rsidRPr="00CB57AA">
              <w:rPr>
                <w:sz w:val="22"/>
                <w:szCs w:val="22"/>
              </w:rPr>
              <w:t xml:space="preserve"> “</w:t>
            </w:r>
            <w:proofErr w:type="spellStart"/>
            <w:r w:rsidRPr="00CB57AA">
              <w:rPr>
                <w:sz w:val="22"/>
                <w:szCs w:val="22"/>
              </w:rPr>
              <w:t>Карађорђево</w:t>
            </w:r>
            <w:proofErr w:type="spellEnd"/>
            <w:r w:rsidRPr="00CB57AA">
              <w:rPr>
                <w:sz w:val="22"/>
                <w:szCs w:val="22"/>
              </w:rPr>
              <w:t xml:space="preserve"> </w:t>
            </w:r>
            <w:proofErr w:type="spellStart"/>
            <w:r w:rsidRPr="00CB57AA">
              <w:rPr>
                <w:sz w:val="22"/>
                <w:szCs w:val="22"/>
              </w:rPr>
              <w:t>трмчиште</w:t>
            </w:r>
            <w:proofErr w:type="spellEnd"/>
            <w:r w:rsidRPr="00CB57AA">
              <w:rPr>
                <w:sz w:val="22"/>
                <w:szCs w:val="22"/>
              </w:rPr>
              <w:t>“</w:t>
            </w:r>
          </w:p>
          <w:p w:rsidR="00391B09" w:rsidRPr="00CB57AA" w:rsidRDefault="00391B09" w:rsidP="004C47EE">
            <w:pPr>
              <w:jc w:val="center"/>
              <w:rPr>
                <w:sz w:val="22"/>
                <w:szCs w:val="22"/>
              </w:rPr>
            </w:pPr>
            <w:r w:rsidRPr="00CB57AA">
              <w:rPr>
                <w:sz w:val="22"/>
                <w:szCs w:val="22"/>
                <w:lang w:val="sr-Cyrl-CS"/>
              </w:rPr>
              <w:t>Карађорђева бб, 34210 Рача</w:t>
            </w:r>
          </w:p>
        </w:tc>
        <w:tc>
          <w:tcPr>
            <w:tcW w:w="2268" w:type="dxa"/>
          </w:tcPr>
          <w:p w:rsidR="00391B09" w:rsidRPr="00CB57AA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  <w:r w:rsidRPr="0005622D">
              <w:rPr>
                <w:sz w:val="24"/>
                <w:szCs w:val="24"/>
                <w:lang w:val="sr-Cyrl-RS"/>
              </w:rPr>
              <w:t>„</w:t>
            </w:r>
            <w:r>
              <w:rPr>
                <w:sz w:val="24"/>
                <w:szCs w:val="24"/>
                <w:lang w:val="sr-Cyrl-RS"/>
              </w:rPr>
              <w:t>Програм санације масовних губитака пчелињих заједница у току 2025.  на територији општине Рача“</w:t>
            </w:r>
          </w:p>
        </w:tc>
        <w:tc>
          <w:tcPr>
            <w:tcW w:w="1134" w:type="dxa"/>
          </w:tcPr>
          <w:p w:rsidR="00391B09" w:rsidRDefault="00391B09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391B09" w:rsidRDefault="00391B09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391B09" w:rsidRDefault="00391B09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391B09" w:rsidRPr="00832AC3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85</w:t>
            </w:r>
          </w:p>
          <w:p w:rsidR="00391B09" w:rsidRPr="00CB57AA" w:rsidRDefault="00391B09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:rsidR="00391B09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391B09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391B09" w:rsidRPr="00832AC3" w:rsidRDefault="00391B09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20</w:t>
            </w:r>
            <w:r w:rsidRPr="00832AC3">
              <w:rPr>
                <w:b/>
                <w:sz w:val="22"/>
                <w:szCs w:val="22"/>
                <w:lang w:val="sr-Cyrl-RS"/>
              </w:rPr>
              <w:t>0.000,00 динара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391B09" w:rsidRDefault="00391B09" w:rsidP="004C47EE">
            <w:pPr>
              <w:jc w:val="center"/>
              <w:rPr>
                <w:sz w:val="22"/>
                <w:szCs w:val="22"/>
              </w:rPr>
            </w:pPr>
          </w:p>
          <w:p w:rsidR="00391B09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391B09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450.000,00</w:t>
            </w:r>
          </w:p>
          <w:p w:rsidR="00391B09" w:rsidRPr="00832AC3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динара</w:t>
            </w:r>
          </w:p>
        </w:tc>
        <w:tc>
          <w:tcPr>
            <w:tcW w:w="2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B09" w:rsidRPr="00B256D8" w:rsidRDefault="00391B09" w:rsidP="009F302F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391B09" w:rsidRPr="0005622D" w:rsidTr="004C47EE">
        <w:trPr>
          <w:trHeight w:val="907"/>
        </w:trPr>
        <w:tc>
          <w:tcPr>
            <w:tcW w:w="704" w:type="dxa"/>
          </w:tcPr>
          <w:p w:rsidR="00391B09" w:rsidRPr="0005622D" w:rsidRDefault="00391B09" w:rsidP="00391B09">
            <w:pPr>
              <w:rPr>
                <w:sz w:val="22"/>
                <w:szCs w:val="22"/>
                <w:lang w:val="sr-Cyrl-CS"/>
              </w:rPr>
            </w:pPr>
          </w:p>
          <w:p w:rsidR="00391B09" w:rsidRPr="0005622D" w:rsidRDefault="00391B09" w:rsidP="00391B09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  <w:lang w:val="sr-Cyrl-CS"/>
              </w:rPr>
              <w:t>2</w:t>
            </w:r>
            <w:r w:rsidRPr="0005622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391B09" w:rsidRDefault="00391B09" w:rsidP="004C47EE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Удружење „Само природа“</w:t>
            </w:r>
          </w:p>
          <w:p w:rsidR="00391B09" w:rsidRPr="009E7D4C" w:rsidRDefault="00F44F09" w:rsidP="009E7D4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Радомира Путника 91.,Поповић</w:t>
            </w:r>
          </w:p>
        </w:tc>
        <w:tc>
          <w:tcPr>
            <w:tcW w:w="2268" w:type="dxa"/>
          </w:tcPr>
          <w:p w:rsidR="00391B09" w:rsidRPr="0005622D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„Заштитимо природу од пожара“</w:t>
            </w:r>
          </w:p>
        </w:tc>
        <w:tc>
          <w:tcPr>
            <w:tcW w:w="1134" w:type="dxa"/>
          </w:tcPr>
          <w:p w:rsidR="00391B09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391B09" w:rsidRPr="00CB57AA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80</w:t>
            </w:r>
          </w:p>
        </w:tc>
        <w:tc>
          <w:tcPr>
            <w:tcW w:w="1417" w:type="dxa"/>
          </w:tcPr>
          <w:p w:rsidR="00391B09" w:rsidRDefault="00391B09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391B09" w:rsidRPr="00832AC3" w:rsidRDefault="00391B09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15</w:t>
            </w:r>
            <w:r w:rsidRPr="00832AC3">
              <w:rPr>
                <w:b/>
                <w:sz w:val="22"/>
                <w:szCs w:val="22"/>
                <w:lang w:val="sr-Cyrl-RS"/>
              </w:rPr>
              <w:t>0.000,00 динара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391B09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391B09" w:rsidRPr="00747465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/</w:t>
            </w:r>
          </w:p>
        </w:tc>
        <w:tc>
          <w:tcPr>
            <w:tcW w:w="2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B09" w:rsidRPr="00747465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391B09" w:rsidRPr="0005622D" w:rsidTr="004C47EE">
        <w:trPr>
          <w:trHeight w:val="78"/>
        </w:trPr>
        <w:tc>
          <w:tcPr>
            <w:tcW w:w="704" w:type="dxa"/>
          </w:tcPr>
          <w:p w:rsidR="00391B09" w:rsidRPr="0005622D" w:rsidRDefault="00391B09" w:rsidP="00391B09">
            <w:pPr>
              <w:jc w:val="center"/>
              <w:rPr>
                <w:sz w:val="22"/>
                <w:szCs w:val="22"/>
              </w:rPr>
            </w:pPr>
          </w:p>
          <w:p w:rsidR="00391B09" w:rsidRPr="0005622D" w:rsidRDefault="00391B09" w:rsidP="00391B09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391B09" w:rsidRPr="004C47EE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 w:rsidRPr="0005622D">
              <w:rPr>
                <w:sz w:val="22"/>
                <w:szCs w:val="22"/>
                <w:lang w:val="sr-Cyrl-RS"/>
              </w:rPr>
              <w:t xml:space="preserve">Удружење грађана „МК Громовник“, </w:t>
            </w:r>
            <w:r>
              <w:rPr>
                <w:sz w:val="22"/>
                <w:szCs w:val="22"/>
                <w:lang w:val="sr-Cyrl-RS"/>
              </w:rPr>
              <w:t>Краља Петра Првог бб, 34210 Рача</w:t>
            </w:r>
          </w:p>
        </w:tc>
        <w:tc>
          <w:tcPr>
            <w:tcW w:w="2268" w:type="dxa"/>
          </w:tcPr>
          <w:p w:rsidR="00391B09" w:rsidRPr="00CB57AA" w:rsidRDefault="004C47EE" w:rsidP="004C47EE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„Громовник 2025.“</w:t>
            </w:r>
          </w:p>
        </w:tc>
        <w:tc>
          <w:tcPr>
            <w:tcW w:w="1134" w:type="dxa"/>
          </w:tcPr>
          <w:p w:rsidR="00391B09" w:rsidRDefault="00391B09" w:rsidP="004C47E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91B09" w:rsidRPr="00CB57AA" w:rsidRDefault="004C47EE" w:rsidP="004C47EE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  <w:r w:rsidRPr="004C47EE">
              <w:rPr>
                <w:sz w:val="22"/>
                <w:szCs w:val="22"/>
                <w:lang w:val="sr-Cyrl-RS"/>
              </w:rPr>
              <w:t>70</w:t>
            </w:r>
          </w:p>
        </w:tc>
        <w:tc>
          <w:tcPr>
            <w:tcW w:w="1417" w:type="dxa"/>
          </w:tcPr>
          <w:p w:rsidR="00391B09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391B09" w:rsidRPr="00832AC3" w:rsidRDefault="004C47EE" w:rsidP="004C47EE">
            <w:pPr>
              <w:jc w:val="center"/>
              <w:rPr>
                <w:b/>
                <w:sz w:val="22"/>
                <w:szCs w:val="22"/>
                <w:highlight w:val="yellow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137.</w:t>
            </w:r>
            <w:r w:rsidR="00391B09" w:rsidRPr="00832AC3">
              <w:rPr>
                <w:b/>
                <w:sz w:val="22"/>
                <w:szCs w:val="22"/>
                <w:lang w:val="sr-Cyrl-RS"/>
              </w:rPr>
              <w:t>000,00 динара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391B09" w:rsidRDefault="00391B09" w:rsidP="004C47EE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  <w:p w:rsidR="004C47EE" w:rsidRPr="00747465" w:rsidRDefault="004C47EE" w:rsidP="004C47EE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  <w:r w:rsidRPr="004C47EE">
              <w:rPr>
                <w:sz w:val="22"/>
                <w:szCs w:val="22"/>
                <w:lang w:val="sr-Cyrl-RS"/>
              </w:rPr>
              <w:t>/</w:t>
            </w:r>
          </w:p>
        </w:tc>
        <w:tc>
          <w:tcPr>
            <w:tcW w:w="2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B09" w:rsidRPr="009848CD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391B09" w:rsidRPr="0005622D" w:rsidTr="004C47EE">
        <w:trPr>
          <w:trHeight w:val="1551"/>
        </w:trPr>
        <w:tc>
          <w:tcPr>
            <w:tcW w:w="704" w:type="dxa"/>
          </w:tcPr>
          <w:p w:rsidR="00391B09" w:rsidRPr="0005622D" w:rsidRDefault="00391B09" w:rsidP="00391B09">
            <w:pPr>
              <w:jc w:val="center"/>
              <w:rPr>
                <w:sz w:val="22"/>
                <w:szCs w:val="22"/>
              </w:rPr>
            </w:pPr>
          </w:p>
          <w:p w:rsidR="00391B09" w:rsidRPr="0005622D" w:rsidRDefault="00391B09" w:rsidP="00391B09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4C47EE" w:rsidRDefault="000D73B6" w:rsidP="000D73B6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</w:t>
            </w:r>
            <w:r w:rsidR="004C47EE">
              <w:rPr>
                <w:sz w:val="22"/>
                <w:szCs w:val="22"/>
                <w:lang w:val="sr-Cyrl-RS"/>
              </w:rPr>
              <w:t>Удружење</w:t>
            </w:r>
          </w:p>
          <w:p w:rsidR="00391B09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„Зекасовци“</w:t>
            </w:r>
          </w:p>
          <w:p w:rsidR="000D73B6" w:rsidRDefault="000D73B6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Карађорђева 60., </w:t>
            </w:r>
          </w:p>
          <w:p w:rsidR="000D73B6" w:rsidRPr="00CB57AA" w:rsidRDefault="000D73B6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34210Рача</w:t>
            </w:r>
          </w:p>
        </w:tc>
        <w:tc>
          <w:tcPr>
            <w:tcW w:w="2268" w:type="dxa"/>
          </w:tcPr>
          <w:p w:rsidR="004C47EE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391B09" w:rsidRPr="004C47EE" w:rsidRDefault="004C47EE" w:rsidP="004C47EE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„Прослава 50  година Зекаса“</w:t>
            </w:r>
          </w:p>
        </w:tc>
        <w:tc>
          <w:tcPr>
            <w:tcW w:w="1134" w:type="dxa"/>
          </w:tcPr>
          <w:p w:rsidR="00391B09" w:rsidRDefault="00391B09" w:rsidP="00280C48">
            <w:pPr>
              <w:rPr>
                <w:sz w:val="22"/>
                <w:szCs w:val="22"/>
                <w:highlight w:val="yellow"/>
              </w:rPr>
            </w:pPr>
          </w:p>
          <w:p w:rsidR="00391B09" w:rsidRPr="00CB57AA" w:rsidRDefault="00391B09" w:rsidP="004C47EE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  <w:r w:rsidRPr="00CB57AA">
              <w:rPr>
                <w:sz w:val="22"/>
                <w:szCs w:val="22"/>
                <w:lang w:val="sr-Cyrl-RS"/>
              </w:rPr>
              <w:t>65</w:t>
            </w:r>
          </w:p>
        </w:tc>
        <w:tc>
          <w:tcPr>
            <w:tcW w:w="1417" w:type="dxa"/>
          </w:tcPr>
          <w:p w:rsidR="00391B09" w:rsidRDefault="00391B09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391B09" w:rsidRPr="00832AC3" w:rsidRDefault="004C47EE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120</w:t>
            </w:r>
            <w:r w:rsidR="00391B09" w:rsidRPr="00832AC3">
              <w:rPr>
                <w:b/>
                <w:sz w:val="22"/>
                <w:szCs w:val="22"/>
                <w:lang w:val="sr-Cyrl-RS"/>
              </w:rPr>
              <w:t>.000,00 динара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391B09" w:rsidRDefault="00391B09" w:rsidP="004C47EE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  <w:p w:rsidR="004C47EE" w:rsidRPr="00AC223D" w:rsidRDefault="004C47EE" w:rsidP="004C47EE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  <w:r w:rsidRPr="004C47EE">
              <w:rPr>
                <w:sz w:val="22"/>
                <w:szCs w:val="22"/>
                <w:lang w:val="sr-Cyrl-RS"/>
              </w:rPr>
              <w:t>/</w:t>
            </w:r>
          </w:p>
        </w:tc>
        <w:tc>
          <w:tcPr>
            <w:tcW w:w="2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B09" w:rsidRPr="00AC223D" w:rsidRDefault="00391B09" w:rsidP="004C47EE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</w:tr>
      <w:tr w:rsidR="004C47EE" w:rsidRPr="0005622D" w:rsidTr="004C47EE">
        <w:trPr>
          <w:trHeight w:val="907"/>
        </w:trPr>
        <w:tc>
          <w:tcPr>
            <w:tcW w:w="704" w:type="dxa"/>
          </w:tcPr>
          <w:p w:rsidR="004C47EE" w:rsidRPr="0005622D" w:rsidRDefault="004C47EE" w:rsidP="004C47EE">
            <w:pPr>
              <w:jc w:val="center"/>
              <w:rPr>
                <w:sz w:val="22"/>
                <w:szCs w:val="22"/>
              </w:rPr>
            </w:pPr>
          </w:p>
          <w:p w:rsidR="004C47EE" w:rsidRPr="0005622D" w:rsidRDefault="004C47EE" w:rsidP="004C47EE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4C47EE" w:rsidRPr="0005622D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9848CD">
              <w:rPr>
                <w:sz w:val="22"/>
                <w:szCs w:val="22"/>
              </w:rPr>
              <w:t>Удружење</w:t>
            </w:r>
            <w:proofErr w:type="spellEnd"/>
            <w:r w:rsidRPr="009848CD">
              <w:rPr>
                <w:sz w:val="22"/>
                <w:szCs w:val="22"/>
              </w:rPr>
              <w:t xml:space="preserve"> </w:t>
            </w:r>
            <w:proofErr w:type="spellStart"/>
            <w:r w:rsidRPr="009848CD">
              <w:rPr>
                <w:sz w:val="22"/>
                <w:szCs w:val="22"/>
              </w:rPr>
              <w:t>грађана</w:t>
            </w:r>
            <w:proofErr w:type="spellEnd"/>
            <w:r w:rsidRPr="009848CD">
              <w:rPr>
                <w:sz w:val="22"/>
                <w:szCs w:val="22"/>
              </w:rPr>
              <w:t xml:space="preserve"> „ </w:t>
            </w:r>
            <w:proofErr w:type="spellStart"/>
            <w:r w:rsidRPr="009848CD">
              <w:rPr>
                <w:sz w:val="22"/>
                <w:szCs w:val="22"/>
              </w:rPr>
              <w:t>Наше</w:t>
            </w:r>
            <w:proofErr w:type="spellEnd"/>
            <w:r w:rsidRPr="009848CD">
              <w:rPr>
                <w:sz w:val="22"/>
                <w:szCs w:val="22"/>
              </w:rPr>
              <w:t xml:space="preserve"> </w:t>
            </w:r>
            <w:proofErr w:type="spellStart"/>
            <w:r w:rsidRPr="009848CD">
              <w:rPr>
                <w:sz w:val="22"/>
                <w:szCs w:val="22"/>
              </w:rPr>
              <w:t>мало</w:t>
            </w:r>
            <w:proofErr w:type="spellEnd"/>
            <w:r w:rsidRPr="009848CD">
              <w:rPr>
                <w:sz w:val="22"/>
                <w:szCs w:val="22"/>
              </w:rPr>
              <w:t xml:space="preserve"> </w:t>
            </w:r>
            <w:proofErr w:type="spellStart"/>
            <w:r w:rsidRPr="009848CD">
              <w:rPr>
                <w:sz w:val="22"/>
                <w:szCs w:val="22"/>
              </w:rPr>
              <w:t>место</w:t>
            </w:r>
            <w:proofErr w:type="spellEnd"/>
            <w:r w:rsidRPr="009848CD">
              <w:rPr>
                <w:sz w:val="22"/>
                <w:szCs w:val="22"/>
                <w:lang w:val="sr-Cyrl-RS"/>
              </w:rPr>
              <w:t>“ Карађорђева 93, 34210 Рача</w:t>
            </w:r>
          </w:p>
        </w:tc>
        <w:tc>
          <w:tcPr>
            <w:tcW w:w="2268" w:type="dxa"/>
          </w:tcPr>
          <w:p w:rsidR="004C47EE" w:rsidRPr="00CB57AA" w:rsidRDefault="004C47EE" w:rsidP="009E7D4C">
            <w:pPr>
              <w:jc w:val="center"/>
              <w:rPr>
                <w:sz w:val="22"/>
                <w:szCs w:val="22"/>
                <w:lang w:val="sr-Cyrl-RS"/>
              </w:rPr>
            </w:pPr>
            <w:r w:rsidRPr="0005622D">
              <w:rPr>
                <w:sz w:val="22"/>
                <w:szCs w:val="22"/>
                <w:lang w:val="sr-Cyrl-RS"/>
              </w:rPr>
              <w:t>„</w:t>
            </w:r>
            <w:r>
              <w:rPr>
                <w:sz w:val="22"/>
                <w:szCs w:val="22"/>
                <w:lang w:val="sr-Cyrl-RS"/>
              </w:rPr>
              <w:t>Промоција удружења и обележавање вежних датума</w:t>
            </w:r>
            <w:r w:rsidRPr="0005622D">
              <w:rPr>
                <w:sz w:val="22"/>
                <w:szCs w:val="22"/>
                <w:lang w:val="sr-Cyrl-RS"/>
              </w:rPr>
              <w:t>“</w:t>
            </w:r>
          </w:p>
        </w:tc>
        <w:tc>
          <w:tcPr>
            <w:tcW w:w="1134" w:type="dxa"/>
          </w:tcPr>
          <w:p w:rsidR="004C47EE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4C47EE" w:rsidRPr="00CB57AA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1417" w:type="dxa"/>
          </w:tcPr>
          <w:p w:rsidR="004C47EE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4C47EE" w:rsidRPr="00832AC3" w:rsidRDefault="004C47EE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8</w:t>
            </w:r>
            <w:r w:rsidRPr="00832AC3">
              <w:rPr>
                <w:b/>
                <w:sz w:val="22"/>
                <w:szCs w:val="22"/>
                <w:lang w:val="sr-Cyrl-RS"/>
              </w:rPr>
              <w:t>0.000,00 динара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4C47EE" w:rsidRDefault="004C47EE" w:rsidP="004C47EE">
            <w:pPr>
              <w:jc w:val="center"/>
              <w:rPr>
                <w:sz w:val="22"/>
                <w:szCs w:val="22"/>
              </w:rPr>
            </w:pPr>
          </w:p>
          <w:p w:rsidR="004C47EE" w:rsidRPr="004C47EE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/</w:t>
            </w:r>
          </w:p>
        </w:tc>
        <w:tc>
          <w:tcPr>
            <w:tcW w:w="2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47EE" w:rsidRPr="00AC223D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4C47EE" w:rsidRPr="0005622D" w:rsidTr="004C47EE">
        <w:trPr>
          <w:trHeight w:val="986"/>
        </w:trPr>
        <w:tc>
          <w:tcPr>
            <w:tcW w:w="704" w:type="dxa"/>
          </w:tcPr>
          <w:p w:rsidR="004C47EE" w:rsidRPr="0005622D" w:rsidRDefault="004C47EE" w:rsidP="004C47EE">
            <w:pPr>
              <w:jc w:val="center"/>
              <w:rPr>
                <w:sz w:val="22"/>
                <w:szCs w:val="22"/>
              </w:rPr>
            </w:pPr>
            <w:r w:rsidRPr="0005622D">
              <w:rPr>
                <w:sz w:val="22"/>
                <w:szCs w:val="22"/>
                <w:lang w:val="sr-Cyrl-CS"/>
              </w:rPr>
              <w:t>6</w:t>
            </w:r>
            <w:r w:rsidRPr="0005622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4C47EE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 w:rsidRPr="00BB3FF1">
              <w:rPr>
                <w:sz w:val="22"/>
                <w:szCs w:val="22"/>
                <w:lang w:val="sr-Cyrl-RS"/>
              </w:rPr>
              <w:t>Општинска организација пензионера Рача</w:t>
            </w:r>
          </w:p>
          <w:p w:rsidR="009E7D4C" w:rsidRDefault="009E7D4C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Карађорђева 48.,</w:t>
            </w:r>
          </w:p>
          <w:p w:rsidR="009E7D4C" w:rsidRPr="0005622D" w:rsidRDefault="009E7D4C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34210 Рача</w:t>
            </w:r>
          </w:p>
        </w:tc>
        <w:tc>
          <w:tcPr>
            <w:tcW w:w="2268" w:type="dxa"/>
          </w:tcPr>
          <w:p w:rsidR="004C47EE" w:rsidRPr="00CB57AA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„Реконструкција постојећег објекта и обележавање крсне славе“</w:t>
            </w:r>
          </w:p>
        </w:tc>
        <w:tc>
          <w:tcPr>
            <w:tcW w:w="1134" w:type="dxa"/>
          </w:tcPr>
          <w:p w:rsidR="004C47EE" w:rsidRDefault="004C47EE" w:rsidP="004C47EE">
            <w:pPr>
              <w:jc w:val="center"/>
              <w:rPr>
                <w:sz w:val="22"/>
                <w:szCs w:val="22"/>
              </w:rPr>
            </w:pPr>
          </w:p>
          <w:p w:rsidR="004C47EE" w:rsidRPr="00CB57AA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1417" w:type="dxa"/>
          </w:tcPr>
          <w:p w:rsidR="004C47EE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4C47EE" w:rsidRPr="00832AC3" w:rsidRDefault="004C47EE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8</w:t>
            </w:r>
            <w:r w:rsidRPr="00832AC3">
              <w:rPr>
                <w:b/>
                <w:sz w:val="22"/>
                <w:szCs w:val="22"/>
                <w:lang w:val="sr-Cyrl-RS"/>
              </w:rPr>
              <w:t>0.000,00 динара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4C47EE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4C47EE" w:rsidRPr="00C64988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/</w:t>
            </w:r>
          </w:p>
        </w:tc>
        <w:tc>
          <w:tcPr>
            <w:tcW w:w="2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47EE" w:rsidRPr="0005622D" w:rsidRDefault="004C47EE" w:rsidP="004C47EE">
            <w:pPr>
              <w:jc w:val="center"/>
              <w:rPr>
                <w:sz w:val="22"/>
                <w:szCs w:val="22"/>
              </w:rPr>
            </w:pPr>
          </w:p>
        </w:tc>
      </w:tr>
      <w:tr w:rsidR="004C47EE" w:rsidRPr="0005622D" w:rsidTr="004C47EE">
        <w:trPr>
          <w:trHeight w:val="1393"/>
        </w:trPr>
        <w:tc>
          <w:tcPr>
            <w:tcW w:w="704" w:type="dxa"/>
          </w:tcPr>
          <w:p w:rsidR="004C47EE" w:rsidRPr="0005622D" w:rsidRDefault="004C47EE" w:rsidP="004C47EE">
            <w:pPr>
              <w:jc w:val="center"/>
              <w:rPr>
                <w:sz w:val="22"/>
                <w:szCs w:val="22"/>
                <w:lang w:val="sr-Latn-RS"/>
              </w:rPr>
            </w:pPr>
            <w:r w:rsidRPr="0005622D">
              <w:rPr>
                <w:sz w:val="22"/>
                <w:szCs w:val="22"/>
                <w:lang w:val="sr-Latn-RS"/>
              </w:rPr>
              <w:t>7.</w:t>
            </w:r>
          </w:p>
        </w:tc>
        <w:tc>
          <w:tcPr>
            <w:tcW w:w="2552" w:type="dxa"/>
          </w:tcPr>
          <w:p w:rsidR="009E7D4C" w:rsidRDefault="004C47EE" w:rsidP="009E7D4C">
            <w:pPr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9848CD">
              <w:rPr>
                <w:sz w:val="22"/>
                <w:szCs w:val="22"/>
              </w:rPr>
              <w:t>Удружење</w:t>
            </w:r>
            <w:proofErr w:type="spellEnd"/>
            <w:r w:rsidRPr="009848CD">
              <w:rPr>
                <w:sz w:val="22"/>
                <w:szCs w:val="22"/>
              </w:rPr>
              <w:t xml:space="preserve"> </w:t>
            </w:r>
            <w:proofErr w:type="spellStart"/>
            <w:r w:rsidRPr="009848CD">
              <w:rPr>
                <w:sz w:val="22"/>
                <w:szCs w:val="22"/>
              </w:rPr>
              <w:t>грађана</w:t>
            </w:r>
            <w:proofErr w:type="spellEnd"/>
            <w:r w:rsidRPr="009848CD">
              <w:rPr>
                <w:sz w:val="22"/>
                <w:szCs w:val="22"/>
              </w:rPr>
              <w:t xml:space="preserve"> „ </w:t>
            </w:r>
            <w:r>
              <w:rPr>
                <w:sz w:val="22"/>
                <w:szCs w:val="22"/>
                <w:lang w:val="sr-Cyrl-RS"/>
              </w:rPr>
              <w:t>Моје мало место</w:t>
            </w:r>
            <w:r w:rsidRPr="009848CD">
              <w:rPr>
                <w:sz w:val="22"/>
                <w:szCs w:val="22"/>
                <w:lang w:val="sr-Cyrl-RS"/>
              </w:rPr>
              <w:t>“</w:t>
            </w:r>
            <w:r>
              <w:rPr>
                <w:sz w:val="22"/>
                <w:szCs w:val="22"/>
                <w:lang w:val="sr-Cyrl-RS"/>
              </w:rPr>
              <w:t xml:space="preserve">, </w:t>
            </w:r>
            <w:r w:rsidRPr="009848CD">
              <w:rPr>
                <w:sz w:val="22"/>
                <w:szCs w:val="22"/>
                <w:lang w:val="sr-Cyrl-RS"/>
              </w:rPr>
              <w:t xml:space="preserve"> Карађорђева </w:t>
            </w:r>
            <w:r w:rsidR="00F9493D">
              <w:rPr>
                <w:sz w:val="22"/>
                <w:szCs w:val="22"/>
                <w:lang w:val="sr-Cyrl-RS"/>
              </w:rPr>
              <w:t>60</w:t>
            </w:r>
            <w:bookmarkStart w:id="0" w:name="_GoBack"/>
            <w:bookmarkEnd w:id="0"/>
            <w:r w:rsidR="009E7D4C">
              <w:rPr>
                <w:sz w:val="22"/>
                <w:szCs w:val="22"/>
                <w:lang w:val="sr-Cyrl-RS"/>
              </w:rPr>
              <w:t>.</w:t>
            </w:r>
            <w:r w:rsidRPr="009848CD">
              <w:rPr>
                <w:sz w:val="22"/>
                <w:szCs w:val="22"/>
                <w:lang w:val="sr-Cyrl-RS"/>
              </w:rPr>
              <w:t xml:space="preserve">, </w:t>
            </w:r>
          </w:p>
          <w:p w:rsidR="004C47EE" w:rsidRPr="00CB57AA" w:rsidRDefault="004C47EE" w:rsidP="009E7D4C">
            <w:pPr>
              <w:jc w:val="center"/>
              <w:rPr>
                <w:sz w:val="22"/>
                <w:szCs w:val="22"/>
                <w:lang w:val="sr-Cyrl-RS"/>
              </w:rPr>
            </w:pPr>
            <w:r w:rsidRPr="009848CD">
              <w:rPr>
                <w:sz w:val="22"/>
                <w:szCs w:val="22"/>
                <w:lang w:val="sr-Cyrl-RS"/>
              </w:rPr>
              <w:t>34210 Рача</w:t>
            </w:r>
          </w:p>
        </w:tc>
        <w:tc>
          <w:tcPr>
            <w:tcW w:w="2268" w:type="dxa"/>
          </w:tcPr>
          <w:p w:rsidR="004C47EE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4C47EE" w:rsidRPr="00CB57AA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„Промоција удружења“</w:t>
            </w:r>
          </w:p>
        </w:tc>
        <w:tc>
          <w:tcPr>
            <w:tcW w:w="1134" w:type="dxa"/>
          </w:tcPr>
          <w:p w:rsidR="004C47EE" w:rsidRDefault="004C47EE" w:rsidP="004C47EE">
            <w:pPr>
              <w:jc w:val="center"/>
              <w:rPr>
                <w:sz w:val="22"/>
                <w:szCs w:val="22"/>
              </w:rPr>
            </w:pPr>
          </w:p>
          <w:p w:rsidR="004C47EE" w:rsidRPr="00CB57AA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1417" w:type="dxa"/>
          </w:tcPr>
          <w:p w:rsidR="004C47EE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4C47EE" w:rsidRPr="00832AC3" w:rsidRDefault="004C47EE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5</w:t>
            </w:r>
            <w:r w:rsidRPr="00832AC3">
              <w:rPr>
                <w:b/>
                <w:sz w:val="22"/>
                <w:szCs w:val="22"/>
                <w:lang w:val="sr-Cyrl-RS"/>
              </w:rPr>
              <w:t>0.000,00 динара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4C47EE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4C47EE" w:rsidRPr="00C64988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/</w:t>
            </w:r>
          </w:p>
        </w:tc>
        <w:tc>
          <w:tcPr>
            <w:tcW w:w="2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47EE" w:rsidRPr="0005622D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4C47EE" w:rsidTr="004C47EE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70"/>
        </w:trPr>
        <w:tc>
          <w:tcPr>
            <w:tcW w:w="704" w:type="dxa"/>
          </w:tcPr>
          <w:p w:rsidR="004C47EE" w:rsidRPr="00B256D8" w:rsidRDefault="004C47EE" w:rsidP="004C47EE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8.</w:t>
            </w:r>
          </w:p>
          <w:p w:rsidR="004C47EE" w:rsidRPr="00B256D8" w:rsidRDefault="004C47EE" w:rsidP="004C47EE">
            <w:pPr>
              <w:ind w:left="454"/>
              <w:rPr>
                <w:lang w:val="sr-Cyrl-RS"/>
              </w:rPr>
            </w:pPr>
          </w:p>
        </w:tc>
        <w:tc>
          <w:tcPr>
            <w:tcW w:w="2552" w:type="dxa"/>
          </w:tcPr>
          <w:p w:rsidR="004C47EE" w:rsidRPr="00CB57AA" w:rsidRDefault="004C47EE" w:rsidP="004C47EE">
            <w:pPr>
              <w:jc w:val="center"/>
              <w:rPr>
                <w:sz w:val="22"/>
                <w:szCs w:val="22"/>
              </w:rPr>
            </w:pPr>
            <w:r w:rsidRPr="00874711">
              <w:rPr>
                <w:sz w:val="22"/>
                <w:szCs w:val="22"/>
                <w:lang w:val="sr-Cyrl-RS"/>
              </w:rPr>
              <w:t>Савез удружења бораца народноослободилачког рата општине Рача“  Карађорђева 48</w:t>
            </w:r>
            <w:r w:rsidR="009E7D4C">
              <w:rPr>
                <w:sz w:val="22"/>
                <w:szCs w:val="22"/>
                <w:lang w:val="sr-Cyrl-RS"/>
              </w:rPr>
              <w:t>.</w:t>
            </w:r>
            <w:r w:rsidRPr="00874711">
              <w:rPr>
                <w:sz w:val="22"/>
                <w:szCs w:val="22"/>
                <w:lang w:val="sr-Cyrl-RS"/>
              </w:rPr>
              <w:t>, 34210 Рача</w:t>
            </w:r>
          </w:p>
        </w:tc>
        <w:tc>
          <w:tcPr>
            <w:tcW w:w="2268" w:type="dxa"/>
          </w:tcPr>
          <w:p w:rsidR="004C47EE" w:rsidRPr="00CB57AA" w:rsidRDefault="004C47EE" w:rsidP="004C47EE">
            <w:pPr>
              <w:jc w:val="center"/>
              <w:rPr>
                <w:sz w:val="22"/>
                <w:szCs w:val="22"/>
              </w:rPr>
            </w:pPr>
            <w:r w:rsidRPr="00874711">
              <w:rPr>
                <w:sz w:val="22"/>
                <w:szCs w:val="22"/>
                <w:lang w:val="sr-Cyrl-RS"/>
              </w:rPr>
              <w:t>„Реконструкција спомен обележја на територији општине Рача и обележавање значајних датума“</w:t>
            </w:r>
          </w:p>
        </w:tc>
        <w:tc>
          <w:tcPr>
            <w:tcW w:w="1134" w:type="dxa"/>
          </w:tcPr>
          <w:p w:rsidR="004C47EE" w:rsidRDefault="004C47EE" w:rsidP="00280C48">
            <w:pPr>
              <w:rPr>
                <w:sz w:val="22"/>
                <w:szCs w:val="22"/>
                <w:lang w:val="sr-Cyrl-RS"/>
              </w:rPr>
            </w:pPr>
          </w:p>
          <w:p w:rsidR="004C47EE" w:rsidRPr="00CB57AA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1417" w:type="dxa"/>
          </w:tcPr>
          <w:p w:rsidR="004C47EE" w:rsidRDefault="004C47EE" w:rsidP="00280C48">
            <w:pPr>
              <w:rPr>
                <w:b/>
                <w:sz w:val="22"/>
                <w:szCs w:val="22"/>
                <w:lang w:val="sr-Cyrl-RS"/>
              </w:rPr>
            </w:pPr>
          </w:p>
          <w:p w:rsidR="004C47EE" w:rsidRPr="00832AC3" w:rsidRDefault="004C47EE" w:rsidP="004C47E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5</w:t>
            </w:r>
            <w:r w:rsidRPr="00832AC3">
              <w:rPr>
                <w:b/>
                <w:sz w:val="22"/>
                <w:szCs w:val="22"/>
                <w:lang w:val="sr-Cyrl-RS"/>
              </w:rPr>
              <w:t>0.000,00 динара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4C47EE" w:rsidRDefault="004C47EE" w:rsidP="004C47EE">
            <w:pPr>
              <w:jc w:val="center"/>
            </w:pPr>
          </w:p>
          <w:p w:rsidR="004C47EE" w:rsidRPr="004C47EE" w:rsidRDefault="004C47EE" w:rsidP="004C47E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47EE" w:rsidRDefault="004C47EE" w:rsidP="004C47EE">
            <w:pPr>
              <w:spacing w:after="0" w:line="240" w:lineRule="auto"/>
              <w:jc w:val="center"/>
            </w:pPr>
          </w:p>
          <w:p w:rsidR="004C47EE" w:rsidRDefault="004C47EE" w:rsidP="004C47EE">
            <w:pPr>
              <w:ind w:left="454"/>
              <w:jc w:val="center"/>
              <w:rPr>
                <w:sz w:val="22"/>
                <w:szCs w:val="22"/>
                <w:lang w:val="sr-Cyrl-RS"/>
              </w:rPr>
            </w:pPr>
          </w:p>
          <w:p w:rsidR="004C47EE" w:rsidRPr="00AC223D" w:rsidRDefault="004C47EE" w:rsidP="004C47EE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280C48" w:rsidRDefault="00280C48" w:rsidP="00391B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B09" w:rsidRPr="00832AC3" w:rsidRDefault="00280C48" w:rsidP="00391B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Коначну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одабраних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пројаката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91B09" w:rsidRPr="00832AC3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91B09" w:rsidRPr="00832AC3"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begin"/>
      </w:r>
      <w:r w:rsidR="00391B09" w:rsidRPr="00832AC3">
        <w:rPr>
          <w:rFonts w:ascii="Times New Roman" w:hAnsi="Times New Roman" w:cs="Times New Roman"/>
          <w:color w:val="0000FF"/>
          <w:sz w:val="24"/>
          <w:szCs w:val="24"/>
          <w:u w:val="single"/>
        </w:rPr>
        <w:instrText xml:space="preserve"> HYPERLINK "http://www.raca.rs" </w:instrText>
      </w:r>
      <w:r w:rsidR="00391B09" w:rsidRPr="00832AC3"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separate"/>
      </w:r>
      <w:r w:rsidR="00391B09" w:rsidRPr="00832AC3">
        <w:rPr>
          <w:rFonts w:ascii="Times New Roman" w:hAnsi="Times New Roman" w:cs="Times New Roman"/>
          <w:color w:val="0000FF"/>
          <w:sz w:val="24"/>
          <w:szCs w:val="24"/>
          <w:u w:val="single"/>
        </w:rPr>
        <w:t>www.raca.rs</w:t>
      </w:r>
      <w:r w:rsidR="00391B09" w:rsidRPr="00832AC3"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="00391B09" w:rsidRPr="00832AC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r w:rsidR="00391B09" w:rsidRPr="00832AC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B09" w:rsidRPr="00832AC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91B09" w:rsidRPr="00832AC3">
        <w:rPr>
          <w:rFonts w:ascii="Times New Roman" w:hAnsi="Times New Roman" w:cs="Times New Roman"/>
          <w:sz w:val="24"/>
          <w:szCs w:val="24"/>
          <w:lang w:val="sr-Cyrl-RS"/>
        </w:rPr>
        <w:t xml:space="preserve"> Рача</w:t>
      </w:r>
      <w:r w:rsidR="00391B09" w:rsidRPr="00832AC3">
        <w:rPr>
          <w:rFonts w:ascii="Times New Roman" w:hAnsi="Times New Roman" w:cs="Times New Roman"/>
          <w:sz w:val="24"/>
          <w:szCs w:val="24"/>
        </w:rPr>
        <w:t>.</w:t>
      </w:r>
    </w:p>
    <w:p w:rsidR="00391B09" w:rsidRPr="00832AC3" w:rsidRDefault="00391B09" w:rsidP="00391B09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:rsidR="00391B09" w:rsidRPr="00832AC3" w:rsidRDefault="00391B09" w:rsidP="00391B0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2AC3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832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2AC3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832AC3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832AC3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832A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13.11.2025</w:t>
      </w:r>
      <w:r w:rsidRPr="00832A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32AC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391B09" w:rsidRPr="00832AC3" w:rsidRDefault="00391B09" w:rsidP="00391B09">
      <w:pPr>
        <w:rPr>
          <w:rFonts w:ascii="Times New Roman" w:hAnsi="Times New Roman" w:cs="Times New Roman"/>
          <w:sz w:val="24"/>
          <w:szCs w:val="24"/>
        </w:rPr>
      </w:pPr>
    </w:p>
    <w:p w:rsidR="00391B09" w:rsidRPr="00832AC3" w:rsidRDefault="00391B09" w:rsidP="00391B09">
      <w:pPr>
        <w:ind w:left="4620" w:firstLine="420"/>
        <w:rPr>
          <w:rFonts w:ascii="Times New Roman" w:hAnsi="Times New Roman" w:cs="Times New Roman"/>
          <w:sz w:val="24"/>
          <w:szCs w:val="24"/>
        </w:rPr>
      </w:pPr>
      <w:r w:rsidRPr="00832AC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</w:t>
      </w:r>
      <w:proofErr w:type="spellStart"/>
      <w:r w:rsidRPr="00832AC3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83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AC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832AC3">
        <w:rPr>
          <w:rFonts w:ascii="Times New Roman" w:hAnsi="Times New Roman" w:cs="Times New Roman"/>
          <w:sz w:val="24"/>
          <w:szCs w:val="24"/>
        </w:rPr>
        <w:t>:</w:t>
      </w:r>
    </w:p>
    <w:p w:rsidR="00391B09" w:rsidRPr="00832AC3" w:rsidRDefault="00391B09" w:rsidP="00391B09">
      <w:pPr>
        <w:ind w:left="4620" w:firstLine="420"/>
        <w:rPr>
          <w:rFonts w:ascii="Times New Roman" w:hAnsi="Times New Roman" w:cs="Times New Roman"/>
          <w:sz w:val="24"/>
          <w:szCs w:val="24"/>
        </w:rPr>
      </w:pPr>
      <w:r w:rsidRPr="00832AC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</w:t>
      </w:r>
      <w:r w:rsidRPr="00832AC3">
        <w:rPr>
          <w:rFonts w:ascii="Times New Roman" w:hAnsi="Times New Roman" w:cs="Times New Roman"/>
          <w:sz w:val="24"/>
          <w:szCs w:val="24"/>
        </w:rPr>
        <w:t>___________________</w:t>
      </w:r>
    </w:p>
    <w:p w:rsidR="00391B09" w:rsidRPr="00832AC3" w:rsidRDefault="00391B09" w:rsidP="00391B09">
      <w:pPr>
        <w:rPr>
          <w:rFonts w:ascii="Times New Roman" w:hAnsi="Times New Roman" w:cs="Times New Roman"/>
          <w:sz w:val="24"/>
          <w:szCs w:val="24"/>
        </w:rPr>
      </w:pPr>
      <w:r w:rsidRPr="00832AC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32A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</w:t>
      </w:r>
      <w:r w:rsidRPr="00832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2AC3">
        <w:rPr>
          <w:rFonts w:ascii="Times New Roman" w:eastAsia="Calibri" w:hAnsi="Times New Roman" w:cs="Times New Roman"/>
          <w:sz w:val="24"/>
          <w:szCs w:val="24"/>
          <w:lang w:val="sr-Cyrl-RS"/>
        </w:rPr>
        <w:t>Славица  Костић</w:t>
      </w:r>
    </w:p>
    <w:p w:rsidR="00391B09" w:rsidRPr="00832AC3" w:rsidRDefault="00391B09" w:rsidP="00391B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F97" w:rsidRDefault="00A57F97"/>
    <w:sectPr w:rsidR="00A57F97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09"/>
    <w:rsid w:val="000D73B6"/>
    <w:rsid w:val="00280C48"/>
    <w:rsid w:val="00391B09"/>
    <w:rsid w:val="00402CE1"/>
    <w:rsid w:val="004C47EE"/>
    <w:rsid w:val="009E7D4C"/>
    <w:rsid w:val="00A57F97"/>
    <w:rsid w:val="00F44F09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734E"/>
  <w15:chartTrackingRefBased/>
  <w15:docId w15:val="{61C44CBC-76B4-4652-83CF-5791E99A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B09"/>
    <w:pPr>
      <w:spacing w:after="160" w:line="259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B09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rsid w:val="00391B0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5</cp:revision>
  <dcterms:created xsi:type="dcterms:W3CDTF">2025-11-12T06:38:00Z</dcterms:created>
  <dcterms:modified xsi:type="dcterms:W3CDTF">2025-11-12T07:21:00Z</dcterms:modified>
</cp:coreProperties>
</file>