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76" w:lineRule="auto"/>
        <w:jc w:val="both"/>
        <w:rPr>
          <w:rFonts w:ascii="Times New Roman" w:hAnsi="Times New Roman" w:eastAsia="Calibri" w:cs="Times New Roman"/>
          <w:sz w:val="22"/>
          <w:szCs w:val="22"/>
        </w:rPr>
      </w:pPr>
    </w:p>
    <w:tbl>
      <w:tblPr>
        <w:tblStyle w:val="3"/>
        <w:tblW w:w="5000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009"/>
        <w:gridCol w:w="2775"/>
        <w:gridCol w:w="273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3" w:type="pct"/>
            <w:vMerge w:val="restart"/>
          </w:tcPr>
          <w:p>
            <w:pPr>
              <w:pStyle w:val="8"/>
              <w:spacing w:before="40" w:after="40"/>
            </w:pPr>
            <w:r>
              <w:rPr>
                <w:lang w:val="sr-Latn-RS" w:eastAsia="sr-Latn-RS"/>
              </w:rPr>
              <w:drawing>
                <wp:inline distT="0" distB="0" distL="0" distR="0">
                  <wp:extent cx="647700" cy="647700"/>
                  <wp:effectExtent l="0" t="0" r="0" b="0"/>
                  <wp:docPr id="1" name="Picture 1" descr="Rezultat slika za opÅ¡tina raÄ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Rezultat slika za opÅ¡tina raÄ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pct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ОДЛУКА ОПШТИНСКОГ ВЕЋА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3" w:type="pct"/>
            <w:vMerge w:val="continue"/>
          </w:tcPr>
          <w:p>
            <w:pPr>
              <w:pStyle w:val="8"/>
            </w:pPr>
          </w:p>
        </w:tc>
        <w:tc>
          <w:tcPr>
            <w:tcW w:w="1542" w:type="pct"/>
            <w:tcBorders>
              <w:right w:val="dashSmallGap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ОЗНАКА: С.08-03</w:t>
            </w:r>
          </w:p>
        </w:tc>
        <w:tc>
          <w:tcPr>
            <w:tcW w:w="1422" w:type="pct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ВЕРЗИЈА: 1</w:t>
            </w:r>
          </w:p>
        </w:tc>
        <w:tc>
          <w:tcPr>
            <w:tcW w:w="1402" w:type="pct"/>
            <w:tcBorders>
              <w:left w:val="dashSmallGap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Страница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PAGE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  <w:r>
              <w:rPr>
                <w:rFonts w:hint="default" w:ascii="Times New Roman" w:hAnsi="Times New Roman" w:cs="Times New Roman"/>
              </w:rPr>
              <w:t xml:space="preserve"> од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NUMPAGES 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</w:rPr>
              <w:t>9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</w:tc>
      </w:tr>
    </w:tbl>
    <w:p>
      <w:pPr>
        <w:spacing w:after="120" w:line="276" w:lineRule="auto"/>
        <w:jc w:val="both"/>
        <w:rPr>
          <w:rFonts w:ascii="Times New Roman" w:hAnsi="Times New Roman" w:eastAsia="Calibri" w:cs="Times New Roman"/>
          <w:sz w:val="22"/>
          <w:szCs w:val="22"/>
        </w:rPr>
      </w:pPr>
    </w:p>
    <w:tbl>
      <w:tblPr>
        <w:tblStyle w:val="3"/>
        <w:tblW w:w="53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РЕПУБЛИКА СРБИЈА – ОПШТИНА РАЧА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ОПШТИНСКО ВЕЋЕ ОПШТИНЕ РАЧА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CS"/>
        </w:rPr>
        <w:t xml:space="preserve">Број: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>021-304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Cyrl-CS"/>
        </w:rPr>
        <w:t>/202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Latn-RS"/>
        </w:rPr>
        <w:t>3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Cyrl-CS"/>
        </w:rPr>
        <w:t>-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II-01</w:t>
      </w:r>
    </w:p>
    <w:p>
      <w:pPr>
        <w:spacing w:after="120" w:line="276" w:lineRule="auto"/>
        <w:jc w:val="both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CS"/>
        </w:rPr>
        <w:t>Датум: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>31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Cyrl-CS"/>
        </w:rPr>
        <w:t>.0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7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Cyrl-CS"/>
        </w:rPr>
        <w:t>.202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Latn-RS"/>
        </w:rPr>
        <w:t>3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Cyrl-CS"/>
        </w:rPr>
        <w:t>.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Latn-RS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Cyrl-CS"/>
        </w:rPr>
        <w:t>године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Latn-RS"/>
        </w:rPr>
        <w:t>.</w:t>
      </w:r>
    </w:p>
    <w:p>
      <w:pPr>
        <w:spacing w:after="120" w:line="276" w:lineRule="auto"/>
        <w:jc w:val="both"/>
        <w:rPr>
          <w:rFonts w:ascii="Times New Roman" w:hAnsi="Times New Roman" w:eastAsia="Calibri" w:cs="Times New Roman"/>
          <w:sz w:val="22"/>
          <w:szCs w:val="22"/>
        </w:rPr>
      </w:pPr>
    </w:p>
    <w:p>
      <w:pPr>
        <w:spacing w:after="0"/>
        <w:ind w:firstLine="720"/>
        <w:jc w:val="both"/>
        <w:rPr>
          <w:rFonts w:ascii="Times New Roman" w:hAnsi="Times New Roman" w:cs="Times New Roman"/>
          <w:b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</w:rPr>
        <w:t xml:space="preserve">На основу члана 13.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става 11. </w:t>
      </w:r>
      <w:r>
        <w:rPr>
          <w:rFonts w:ascii="Times New Roman" w:hAnsi="Times New Roman" w:cs="Times New Roman"/>
          <w:sz w:val="22"/>
          <w:szCs w:val="22"/>
        </w:rPr>
        <w:t xml:space="preserve">Правилника о начину и поступку доделе средстава традиционалним цркавама и верским заједницама на територији општине Рача (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“</w:t>
      </w:r>
      <w:r>
        <w:rPr>
          <w:rFonts w:ascii="Times New Roman" w:hAnsi="Times New Roman" w:cs="Times New Roman"/>
          <w:sz w:val="22"/>
          <w:szCs w:val="22"/>
        </w:rPr>
        <w:t>Службени гласник општине Рача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”,</w:t>
      </w:r>
      <w:r>
        <w:rPr>
          <w:rFonts w:ascii="Times New Roman" w:hAnsi="Times New Roman" w:cs="Times New Roman"/>
          <w:sz w:val="22"/>
          <w:szCs w:val="22"/>
        </w:rPr>
        <w:t xml:space="preserve"> број 21/2019), а у складу са Уредбом о средствима за постицање програма или недостајућег дела средстава за финансирање програма од јавног интереса која реализују удружења („Службени гласник РС“ број: 16/2018)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, записника о спроведеном јавном конкурсу и коначног предлога </w:t>
      </w:r>
      <w:r>
        <w:rPr>
          <w:rFonts w:ascii="Times New Roman" w:hAnsi="Times New Roman" w:cs="Times New Roman"/>
          <w:sz w:val="22"/>
          <w:szCs w:val="22"/>
        </w:rPr>
        <w:t>Комисиј</w:t>
      </w:r>
      <w:r>
        <w:rPr>
          <w:rFonts w:ascii="Times New Roman" w:hAnsi="Times New Roman" w:cs="Times New Roman"/>
          <w:sz w:val="22"/>
          <w:szCs w:val="22"/>
          <w:lang w:val="sr-Cyrl-RS"/>
        </w:rPr>
        <w:t>е</w:t>
      </w:r>
      <w:r>
        <w:rPr>
          <w:rFonts w:ascii="Times New Roman" w:hAnsi="Times New Roman" w:cs="Times New Roman"/>
          <w:sz w:val="22"/>
          <w:szCs w:val="22"/>
        </w:rPr>
        <w:t xml:space="preserve"> за покретање и </w:t>
      </w:r>
      <w:r>
        <w:rPr>
          <w:rFonts w:ascii="Times New Roman" w:hAnsi="Times New Roman" w:cs="Times New Roman"/>
          <w:sz w:val="22"/>
          <w:szCs w:val="22"/>
          <w:lang w:val="sr-Cyrl-CS"/>
        </w:rPr>
        <w:t>спровођење конкурсног поступка доделе средстава из буџета општине Рача у 20</w:t>
      </w:r>
      <w:r>
        <w:rPr>
          <w:rFonts w:ascii="Times New Roman" w:hAnsi="Times New Roman" w:cs="Times New Roman"/>
          <w:sz w:val="22"/>
          <w:szCs w:val="22"/>
        </w:rPr>
        <w:t>2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3</w:t>
      </w:r>
      <w:r>
        <w:rPr>
          <w:rFonts w:ascii="Times New Roman" w:hAnsi="Times New Roman" w:cs="Times New Roman"/>
          <w:sz w:val="22"/>
          <w:szCs w:val="22"/>
          <w:lang w:val="sr-Cyrl-CS"/>
        </w:rPr>
        <w:t>. години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,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за подстицање пројеката/програма од јавног интереса које реализују цркве и верске заједнице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,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RS"/>
        </w:rPr>
        <w:t>Општинско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веће општине Рача, </w:t>
      </w:r>
      <w:r>
        <w:rPr>
          <w:rFonts w:ascii="Times New Roman" w:hAnsi="Times New Roman" w:cs="Times New Roman"/>
          <w:sz w:val="22"/>
          <w:szCs w:val="22"/>
          <w:lang w:val="sr-Cyrl-CS"/>
        </w:rPr>
        <w:t>на седници одржаној дана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31</w:t>
      </w:r>
      <w:r>
        <w:rPr>
          <w:rFonts w:ascii="Times New Roman" w:hAnsi="Times New Roman" w:cs="Times New Roman"/>
          <w:sz w:val="22"/>
          <w:szCs w:val="22"/>
          <w:lang w:val="sr-Cyrl-RS"/>
        </w:rPr>
        <w:t>.07</w:t>
      </w:r>
      <w:r>
        <w:rPr>
          <w:rFonts w:ascii="Times New Roman" w:hAnsi="Times New Roman" w:cs="Times New Roman"/>
          <w:sz w:val="22"/>
          <w:szCs w:val="22"/>
        </w:rPr>
        <w:t>.2023</w:t>
      </w:r>
      <w:r>
        <w:rPr>
          <w:rFonts w:ascii="Times New Roman" w:hAnsi="Times New Roman" w:cs="Times New Roman"/>
          <w:sz w:val="22"/>
          <w:szCs w:val="22"/>
          <w:lang w:val="sr-Cyrl-CS"/>
        </w:rPr>
        <w:t>. године , донел</w:t>
      </w:r>
      <w:r>
        <w:rPr>
          <w:rFonts w:ascii="Times New Roman" w:hAnsi="Times New Roman" w:cs="Times New Roman"/>
          <w:sz w:val="22"/>
          <w:szCs w:val="22"/>
          <w:lang w:val="sr-Cyrl-RS"/>
        </w:rPr>
        <w:t>о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је:</w:t>
      </w:r>
    </w:p>
    <w:p>
      <w:pPr>
        <w:spacing w:after="120" w:line="276" w:lineRule="auto"/>
        <w:jc w:val="both"/>
        <w:rPr>
          <w:rFonts w:ascii="Times New Roman" w:hAnsi="Times New Roman" w:cs="Times New Roman"/>
          <w:b/>
          <w:bCs/>
          <w:spacing w:val="-4"/>
          <w:w w:val="126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О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Л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У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К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У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додел</w:t>
      </w: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средстава из буџета општине Рача за 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подстицање пројеката или недостајућег дела средстава за финансирање пројеката од јавног интереса које реализују традиционалне цркве и верске заједнице за 2023. годину</w:t>
      </w:r>
    </w:p>
    <w:p>
      <w:pPr>
        <w:shd w:val="clear" w:color="auto" w:fill="FFFFFF"/>
        <w:rPr>
          <w:rFonts w:ascii="Times New Roman" w:hAnsi="Times New Roman" w:cs="Times New Roman"/>
          <w:b/>
          <w:bCs/>
          <w:spacing w:val="-4"/>
          <w:w w:val="126"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Члан 1.</w:t>
      </w:r>
    </w:p>
    <w:p>
      <w:pPr>
        <w:pStyle w:val="14"/>
        <w:tabs>
          <w:tab w:val="left" w:pos="9090"/>
        </w:tabs>
        <w:jc w:val="both"/>
        <w:rPr>
          <w:sz w:val="22"/>
        </w:rPr>
      </w:pPr>
      <w:r>
        <w:rPr>
          <w:b/>
          <w:sz w:val="22"/>
        </w:rPr>
        <w:t xml:space="preserve">        ОДОБРАВАЈУ СЕ </w:t>
      </w:r>
      <w:r>
        <w:rPr>
          <w:sz w:val="22"/>
        </w:rPr>
        <w:t>средства из буџета општине Рача по спроведеном јавном конкурсу за избор пројеката који се финансирају или суфинансирају средствима из буџета општине Рача за 2023. годину, расписаном дана 05.</w:t>
      </w:r>
      <w:r>
        <w:rPr>
          <w:sz w:val="22"/>
          <w:lang w:val="sr-Cyrl-RS"/>
        </w:rPr>
        <w:t>06</w:t>
      </w:r>
      <w:r>
        <w:rPr>
          <w:sz w:val="22"/>
        </w:rPr>
        <w:t xml:space="preserve">.2023. године традиционалним црквама и верским заједницама-корисницима средстава, како је приказано у следећој табели: </w:t>
      </w:r>
    </w:p>
    <w:p>
      <w:pPr>
        <w:spacing w:after="0" w:line="240" w:lineRule="auto"/>
        <w:ind w:left="144" w:right="144" w:firstLine="288"/>
        <w:rPr>
          <w:rFonts w:ascii="Times New Roman" w:hAnsi="Times New Roman" w:eastAsia="Calibri" w:cs="Times New Roman"/>
          <w:sz w:val="22"/>
          <w:szCs w:val="22"/>
          <w:lang w:eastAsia="en-US"/>
        </w:rPr>
        <w:sectPr>
          <w:footerReference r:id="rId5" w:type="default"/>
          <w:pgSz w:w="11906" w:h="16838"/>
          <w:pgMar w:top="1440" w:right="926" w:bottom="1440" w:left="1440" w:header="720" w:footer="720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11"/>
        <w:tblpPr w:leftFromText="180" w:rightFromText="180" w:vertAnchor="text" w:horzAnchor="margin" w:tblpXSpec="center" w:tblpY="120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945"/>
        <w:gridCol w:w="3118"/>
        <w:gridCol w:w="1134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Редни број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Назив традиционалне цркве/ верске заједнице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Назив пројекта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Укупан број бодова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Додељени износ средстава за фининсирање из буџета ЈЛС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Износ средстава којима ће се суфинансирати пројекат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45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Црквена општина сарановачка- храм Успенија Пресвете Богородице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„Инвестиционо одржавање цркве у Саранову“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85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2.100,00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</w:tr>
    </w:tbl>
    <w:p>
      <w:pPr>
        <w:pStyle w:val="14"/>
        <w:tabs>
          <w:tab w:val="left" w:pos="9090"/>
        </w:tabs>
        <w:jc w:val="both"/>
        <w:rPr>
          <w:sz w:val="22"/>
        </w:rPr>
        <w:sectPr>
          <w:pgSz w:w="16838" w:h="11906" w:orient="landscape"/>
          <w:pgMar w:top="1135" w:right="1440" w:bottom="922" w:left="1440" w:header="720" w:footer="720" w:gutter="0"/>
          <w:cols w:space="720" w:num="1"/>
          <w:docGrid w:linePitch="360" w:charSpace="0"/>
        </w:sectPr>
      </w:pPr>
    </w:p>
    <w:p>
      <w:pPr>
        <w:pStyle w:val="14"/>
        <w:tabs>
          <w:tab w:val="left" w:pos="9090"/>
        </w:tabs>
        <w:jc w:val="both"/>
        <w:rPr>
          <w:sz w:val="22"/>
        </w:rPr>
      </w:pPr>
    </w:p>
    <w:p>
      <w:pPr>
        <w:pStyle w:val="14"/>
        <w:tabs>
          <w:tab w:val="left" w:pos="9090"/>
        </w:tabs>
        <w:jc w:val="center"/>
        <w:rPr>
          <w:b/>
          <w:sz w:val="22"/>
        </w:rPr>
      </w:pPr>
      <w:r>
        <w:rPr>
          <w:b/>
          <w:sz w:val="22"/>
        </w:rPr>
        <w:t>Члан 2.</w:t>
      </w:r>
    </w:p>
    <w:p>
      <w:pPr>
        <w:pStyle w:val="14"/>
        <w:tabs>
          <w:tab w:val="left" w:pos="9090"/>
        </w:tabs>
        <w:jc w:val="both"/>
        <w:rPr>
          <w:b/>
          <w:sz w:val="22"/>
        </w:rPr>
      </w:pPr>
      <w:r>
        <w:rPr>
          <w:sz w:val="22"/>
        </w:rPr>
        <w:t>Овлашћује се председник општине Рача да потпише уговорe о финансирању пројекaта из члана 1. ове Одлуке.</w:t>
      </w:r>
    </w:p>
    <w:p>
      <w:pPr>
        <w:pStyle w:val="14"/>
        <w:tabs>
          <w:tab w:val="left" w:pos="9090"/>
        </w:tabs>
        <w:jc w:val="both"/>
        <w:rPr>
          <w:sz w:val="22"/>
        </w:rPr>
      </w:pPr>
    </w:p>
    <w:p>
      <w:pPr>
        <w:pStyle w:val="14"/>
        <w:tabs>
          <w:tab w:val="left" w:pos="9090"/>
        </w:tabs>
        <w:jc w:val="center"/>
        <w:rPr>
          <w:b/>
          <w:sz w:val="22"/>
        </w:rPr>
      </w:pPr>
      <w:r>
        <w:rPr>
          <w:b/>
          <w:sz w:val="22"/>
        </w:rPr>
        <w:t>Члан 3.</w:t>
      </w:r>
    </w:p>
    <w:p>
      <w:pPr>
        <w:spacing w:after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Позива се подносилац одобреног пројекта да у року од 7 дана од дана пријема ове Одлуке, достави усклађен финансијски план пројекта са одобреним средствима Комисији за покретање и </w:t>
      </w:r>
      <w:r>
        <w:rPr>
          <w:rFonts w:ascii="Times New Roman" w:hAnsi="Times New Roman" w:cs="Times New Roman"/>
          <w:sz w:val="22"/>
          <w:szCs w:val="22"/>
          <w:lang w:val="sr-Cyrl-CS"/>
        </w:rPr>
        <w:t>спровођење конкурсног поступка доделе средстава из буџета општине Рача у 20</w:t>
      </w:r>
      <w:r>
        <w:rPr>
          <w:rFonts w:ascii="Times New Roman" w:hAnsi="Times New Roman" w:cs="Times New Roman"/>
          <w:sz w:val="22"/>
          <w:szCs w:val="22"/>
        </w:rPr>
        <w:t>23</w:t>
      </w:r>
      <w:r>
        <w:rPr>
          <w:rFonts w:ascii="Times New Roman" w:hAnsi="Times New Roman" w:cs="Times New Roman"/>
          <w:sz w:val="22"/>
          <w:szCs w:val="22"/>
          <w:lang w:val="sr-Cyrl-CS"/>
        </w:rPr>
        <w:t>. години за подстицање пројеката/програма од јавног интереса које реализују цркве и верске заједнице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</w:rPr>
        <w:t>у два примерка, изјаву да средства за реализацију одобреног пројекта нису на други начин већ обезбеђена, изјаву о непостојању сукоба инетереса.</w:t>
      </w:r>
    </w:p>
    <w:p>
      <w:pPr>
        <w:pStyle w:val="14"/>
        <w:tabs>
          <w:tab w:val="left" w:pos="9090"/>
        </w:tabs>
        <w:jc w:val="both"/>
        <w:rPr>
          <w:sz w:val="22"/>
        </w:rPr>
      </w:pPr>
      <w:r>
        <w:rPr>
          <w:sz w:val="22"/>
        </w:rPr>
        <w:t>Након достављања документације из става 1. овог члана од стране подносиоца одобреног пројекта,  закључиће се уговор о финансирању којим ће се регулисати међусобна права и обавезе уговорених страна.</w:t>
      </w:r>
    </w:p>
    <w:p>
      <w:pPr>
        <w:pStyle w:val="14"/>
        <w:tabs>
          <w:tab w:val="left" w:pos="9090"/>
        </w:tabs>
        <w:jc w:val="both"/>
        <w:rPr>
          <w:sz w:val="22"/>
        </w:rPr>
      </w:pPr>
      <w:r>
        <w:rPr>
          <w:sz w:val="22"/>
        </w:rPr>
        <w:t>Уколико подносилац одобреног пројекта не достави докуметнацију прописану у ставу 1. овог члана сматра се да је одустао од реализацију програма.</w:t>
      </w:r>
    </w:p>
    <w:p>
      <w:pPr>
        <w:pStyle w:val="14"/>
        <w:tabs>
          <w:tab w:val="left" w:pos="9090"/>
        </w:tabs>
        <w:jc w:val="both"/>
        <w:rPr>
          <w:sz w:val="22"/>
        </w:rPr>
      </w:pPr>
      <w:r>
        <w:rPr>
          <w:sz w:val="22"/>
        </w:rPr>
        <w:t xml:space="preserve">                  </w:t>
      </w:r>
    </w:p>
    <w:p>
      <w:pPr>
        <w:pStyle w:val="14"/>
        <w:tabs>
          <w:tab w:val="left" w:pos="9090"/>
        </w:tabs>
        <w:jc w:val="center"/>
        <w:rPr>
          <w:b/>
          <w:sz w:val="22"/>
        </w:rPr>
      </w:pPr>
      <w:r>
        <w:rPr>
          <w:b/>
          <w:sz w:val="22"/>
        </w:rPr>
        <w:t>Члан 4.</w:t>
      </w:r>
    </w:p>
    <w:p>
      <w:pPr>
        <w:pStyle w:val="14"/>
        <w:tabs>
          <w:tab w:val="left" w:pos="9090"/>
        </w:tabs>
        <w:jc w:val="both"/>
        <w:rPr>
          <w:sz w:val="22"/>
        </w:rPr>
      </w:pPr>
      <w:r>
        <w:rPr>
          <w:sz w:val="22"/>
        </w:rPr>
        <w:t>Корисник одобрених средстава дужан је да Комисији за праћење реализације пројеката омогући праћење реализације пројекта и достави периодични и завршни наративни и финансијски извештај најкасније до 30.01.2023. године.</w:t>
      </w:r>
    </w:p>
    <w:p>
      <w:pPr>
        <w:pStyle w:val="14"/>
        <w:tabs>
          <w:tab w:val="left" w:pos="9090"/>
        </w:tabs>
        <w:jc w:val="both"/>
        <w:rPr>
          <w:sz w:val="22"/>
        </w:rPr>
      </w:pPr>
      <w:r>
        <w:rPr>
          <w:sz w:val="22"/>
        </w:rPr>
        <w:t>Контролу финансијских извештаја врши Одсек за буџет и финансије Општинске управе општине Рача.</w:t>
      </w:r>
    </w:p>
    <w:p>
      <w:pPr>
        <w:pStyle w:val="14"/>
        <w:tabs>
          <w:tab w:val="left" w:pos="9090"/>
        </w:tabs>
        <w:jc w:val="both"/>
        <w:rPr>
          <w:sz w:val="22"/>
        </w:rPr>
      </w:pPr>
      <w:r>
        <w:rPr>
          <w:sz w:val="22"/>
        </w:rPr>
        <w:t>Контролу наративних извештаја врши Комисија за праћење реализације пројеката.</w:t>
      </w:r>
    </w:p>
    <w:p>
      <w:pPr>
        <w:pStyle w:val="14"/>
        <w:tabs>
          <w:tab w:val="left" w:pos="9090"/>
        </w:tabs>
        <w:jc w:val="both"/>
        <w:rPr>
          <w:sz w:val="22"/>
        </w:rPr>
      </w:pPr>
      <w:r>
        <w:rPr>
          <w:sz w:val="22"/>
        </w:rPr>
        <w:t>Достава наведених извештаја биће прецизирана уговором о финансирању пројекта.</w:t>
      </w:r>
    </w:p>
    <w:p>
      <w:pPr>
        <w:pStyle w:val="14"/>
        <w:tabs>
          <w:tab w:val="left" w:pos="9090"/>
        </w:tabs>
        <w:jc w:val="both"/>
        <w:rPr>
          <w:b/>
          <w:sz w:val="22"/>
        </w:rPr>
      </w:pPr>
    </w:p>
    <w:p>
      <w:pPr>
        <w:pStyle w:val="14"/>
        <w:tabs>
          <w:tab w:val="left" w:pos="9090"/>
        </w:tabs>
        <w:jc w:val="center"/>
        <w:rPr>
          <w:b/>
          <w:sz w:val="22"/>
        </w:rPr>
      </w:pPr>
      <w:r>
        <w:rPr>
          <w:b/>
          <w:sz w:val="22"/>
        </w:rPr>
        <w:t>Члан 5.</w:t>
      </w:r>
    </w:p>
    <w:p>
      <w:pPr>
        <w:pStyle w:val="14"/>
        <w:tabs>
          <w:tab w:val="left" w:pos="9090"/>
        </w:tabs>
        <w:jc w:val="both"/>
        <w:rPr>
          <w:sz w:val="22"/>
        </w:rPr>
      </w:pPr>
      <w:r>
        <w:rPr>
          <w:sz w:val="22"/>
        </w:rPr>
        <w:t>Одлука ступа на снагу даном доношења.</w:t>
      </w:r>
    </w:p>
    <w:p>
      <w:pPr>
        <w:pStyle w:val="14"/>
        <w:tabs>
          <w:tab w:val="left" w:pos="9090"/>
        </w:tabs>
        <w:jc w:val="both"/>
        <w:rPr>
          <w:sz w:val="22"/>
        </w:rPr>
      </w:pPr>
    </w:p>
    <w:p>
      <w:pPr>
        <w:pStyle w:val="14"/>
        <w:tabs>
          <w:tab w:val="left" w:pos="9090"/>
        </w:tabs>
        <w:jc w:val="center"/>
        <w:rPr>
          <w:b/>
          <w:sz w:val="22"/>
        </w:rPr>
      </w:pPr>
      <w:r>
        <w:rPr>
          <w:b/>
          <w:sz w:val="22"/>
        </w:rPr>
        <w:t>Члан 6.</w:t>
      </w:r>
    </w:p>
    <w:p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sr-Cyrl-RS"/>
        </w:rPr>
        <w:t>Одлуку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објавити на </w:t>
      </w:r>
      <w:r>
        <w:rPr>
          <w:rFonts w:ascii="Times New Roman" w:hAnsi="Times New Roman" w:cs="Times New Roman"/>
          <w:sz w:val="22"/>
          <w:szCs w:val="22"/>
          <w:lang w:val="sr-Cyrl-RS"/>
        </w:rPr>
        <w:t>званичној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интернет страници општине Рача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</w:t>
      </w:r>
      <w:r>
        <w:rPr>
          <w:rStyle w:val="9"/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Style w:val="9"/>
          <w:rFonts w:hint="default" w:ascii="Times New Roman" w:hAnsi="Times New Roman" w:cs="Times New Roman"/>
          <w:color w:val="auto"/>
          <w:sz w:val="22"/>
          <w:szCs w:val="22"/>
          <w:lang w:val="sr-Cyrl-RS"/>
        </w:rPr>
        <w:t xml:space="preserve"> порталу е-Управа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RS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огласној табли општине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Рача</w:t>
      </w:r>
      <w:r>
        <w:rPr>
          <w:rFonts w:ascii="Times New Roman" w:hAnsi="Times New Roman" w:cs="Times New Roman"/>
          <w:sz w:val="22"/>
          <w:szCs w:val="22"/>
        </w:rPr>
        <w:t>.</w:t>
      </w:r>
    </w:p>
    <w:p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 б р а з л о ж е њ е</w:t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Чланом 13. Правилника о начину и поступку доделе средстава традиционалним цркавама и верским заједницама на територији општине Рача ( Службени гласник општине Рача број 21/2019) дефинисан је поступак одлучивања приликом доделе средстава црквама и верским заједницама.</w:t>
      </w:r>
    </w:p>
    <w:p>
      <w:pPr>
        <w:ind w:firstLine="709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>
        <w:rPr>
          <w:rFonts w:ascii="Times New Roman" w:hAnsi="Times New Roman" w:cs="Times New Roman"/>
          <w:sz w:val="22"/>
          <w:szCs w:val="22"/>
        </w:rPr>
        <w:t>Уредбом о средствима за постицање програма или недостајућег дела средстава за финансирање програма од јавног интереса која реализују удружења („Службени гласник РС“ број: 18/2018)</w:t>
      </w:r>
      <w:r>
        <w:rPr>
          <w:rFonts w:ascii="Times New Roman" w:hAnsi="Times New Roman" w:eastAsia="Calibri" w:cs="Times New Roman"/>
          <w:sz w:val="22"/>
          <w:szCs w:val="22"/>
        </w:rPr>
        <w:t xml:space="preserve"> утврђена су правила целокупног поступка доделе средстава.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 xml:space="preserve">Јавни конкурс за доделу средстава традиционалним црквама и верским заједницама  из буџета општине Рача за 2023. годину објављен </w:t>
      </w:r>
      <w:r>
        <w:rPr>
          <w:rFonts w:ascii="Times New Roman" w:hAnsi="Times New Roman" w:cs="Times New Roman"/>
          <w:sz w:val="22"/>
          <w:szCs w:val="22"/>
        </w:rPr>
        <w:t>у складу са чланом 9. Правилника о начину, критеријумима и поступку доделе средстава из буџета општине Рача за подстицање пројеката/програма од јавног интереса које реализују цркве и верске заједнице (Службени гласник општине Рача број 21/2019)</w:t>
      </w:r>
      <w:r>
        <w:rPr>
          <w:rFonts w:ascii="Times New Roman" w:hAnsi="Times New Roman" w:cs="Times New Roman"/>
          <w:sz w:val="22"/>
          <w:szCs w:val="22"/>
          <w:lang w:val="sr-Cyrl-CS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CS"/>
        </w:rPr>
        <w:t>а на основу одлуке Општинског већа општине Рача,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CS"/>
        </w:rPr>
        <w:t>број: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  <w:lang w:val="sr-Cyrl-RS"/>
        </w:rPr>
        <w:t>401-251/2023-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II-01 </w:t>
      </w:r>
      <w:r>
        <w:rPr>
          <w:rFonts w:ascii="Times New Roman" w:hAnsi="Times New Roman" w:cs="Times New Roman"/>
          <w:sz w:val="22"/>
          <w:szCs w:val="22"/>
          <w:lang w:val="sr-Cyrl-RS"/>
        </w:rPr>
        <w:t>од 02.06.2023.</w:t>
      </w:r>
      <w:r>
        <w:rPr>
          <w:rFonts w:ascii="Times New Roman" w:hAnsi="Times New Roman" w:cs="Times New Roman"/>
          <w:sz w:val="22"/>
          <w:szCs w:val="22"/>
        </w:rPr>
        <w:t xml:space="preserve"> године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на огл</w:t>
      </w:r>
      <w:r>
        <w:rPr>
          <w:rFonts w:ascii="Times New Roman" w:hAnsi="Times New Roman" w:cs="Times New Roman"/>
          <w:sz w:val="22"/>
          <w:szCs w:val="22"/>
          <w:lang w:val="sr-Latn-CS"/>
        </w:rPr>
        <w:t>a</w:t>
      </w:r>
      <w:r>
        <w:rPr>
          <w:rFonts w:ascii="Times New Roman" w:hAnsi="Times New Roman" w:cs="Times New Roman"/>
          <w:sz w:val="22"/>
          <w:szCs w:val="22"/>
          <w:lang w:val="sr-Cyrl-CS"/>
        </w:rPr>
        <w:t>сној табли Општинске управе општине Рача, као и на</w:t>
      </w:r>
      <w:r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завничној интернет страни општине Рача</w:t>
      </w:r>
      <w:r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дана </w:t>
      </w:r>
      <w:r>
        <w:rPr>
          <w:rFonts w:ascii="Times New Roman" w:hAnsi="Times New Roman" w:cs="Times New Roman"/>
          <w:sz w:val="22"/>
          <w:szCs w:val="22"/>
        </w:rPr>
        <w:t>05.06</w:t>
      </w:r>
      <w:r>
        <w:rPr>
          <w:rFonts w:ascii="Times New Roman" w:hAnsi="Times New Roman" w:cs="Times New Roman"/>
          <w:sz w:val="22"/>
          <w:szCs w:val="22"/>
          <w:lang w:val="sr-Cyrl-CS"/>
        </w:rPr>
        <w:t>.20</w:t>
      </w:r>
      <w:r>
        <w:rPr>
          <w:rFonts w:ascii="Times New Roman" w:hAnsi="Times New Roman" w:cs="Times New Roman"/>
          <w:sz w:val="22"/>
          <w:szCs w:val="22"/>
        </w:rPr>
        <w:t>23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.године. </w:t>
      </w:r>
    </w:p>
    <w:p>
      <w:pPr>
        <w:ind w:firstLine="7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Рок за пријаву на јавни конкурс трајао је 15 дана од дана објављивања на званичној интернет страни општине Рача, закључно са 20.06.20</w:t>
      </w:r>
      <w:r>
        <w:rPr>
          <w:rFonts w:ascii="Times New Roman" w:hAnsi="Times New Roman" w:cs="Times New Roman"/>
          <w:sz w:val="22"/>
          <w:szCs w:val="22"/>
        </w:rPr>
        <w:t>23</w:t>
      </w:r>
      <w:r>
        <w:rPr>
          <w:rFonts w:ascii="Times New Roman" w:hAnsi="Times New Roman" w:cs="Times New Roman"/>
          <w:sz w:val="22"/>
          <w:szCs w:val="22"/>
          <w:lang w:val="sr-Cyrl-CS"/>
        </w:rPr>
        <w:t>. године.</w:t>
      </w:r>
    </w:p>
    <w:p>
      <w:pPr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>
      <w:pPr>
        <w:ind w:firstLine="720" w:firstLineChars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 xml:space="preserve">Комисија је константовала да се на јавни конкурс благовремено пријавило </w:t>
      </w:r>
      <w:r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црквениe</w:t>
      </w:r>
      <w:r>
        <w:rPr>
          <w:rFonts w:ascii="Times New Roman" w:hAnsi="Times New Roman" w:cs="Times New Roman"/>
          <w:color w:val="FF0000"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CS"/>
        </w:rPr>
        <w:t>општинe, и то:</w:t>
      </w:r>
    </w:p>
    <w:p>
      <w:pPr>
        <w:pStyle w:val="16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 xml:space="preserve">Назив подносиоца пријаве: Црквена општина сарановачка- храм Успенија Пресвете Богородице </w:t>
      </w:r>
    </w:p>
    <w:p>
      <w:pPr>
        <w:pStyle w:val="16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 xml:space="preserve">Датум предаје документације: Пријава, број: </w:t>
      </w:r>
      <w:r>
        <w:rPr>
          <w:rFonts w:ascii="Times New Roman" w:hAnsi="Times New Roman" w:cs="Times New Roman"/>
          <w:sz w:val="22"/>
          <w:szCs w:val="22"/>
        </w:rPr>
        <w:t>401-</w:t>
      </w:r>
      <w:r>
        <w:rPr>
          <w:rFonts w:ascii="Times New Roman" w:hAnsi="Times New Roman" w:cs="Times New Roman"/>
          <w:sz w:val="22"/>
          <w:szCs w:val="22"/>
          <w:lang w:val="sr-Cyrl-RS"/>
        </w:rPr>
        <w:t>260</w:t>
      </w:r>
      <w:r>
        <w:rPr>
          <w:rFonts w:ascii="Times New Roman" w:hAnsi="Times New Roman" w:cs="Times New Roman"/>
          <w:sz w:val="22"/>
          <w:szCs w:val="22"/>
        </w:rPr>
        <w:t>/2023-II-02,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је примљена дана </w:t>
      </w:r>
      <w:r>
        <w:rPr>
          <w:rFonts w:ascii="Times New Roman" w:hAnsi="Times New Roman" w:cs="Times New Roman"/>
          <w:sz w:val="22"/>
          <w:szCs w:val="22"/>
        </w:rPr>
        <w:t>09.06.2023</w:t>
      </w:r>
      <w:r>
        <w:rPr>
          <w:rFonts w:ascii="Times New Roman" w:hAnsi="Times New Roman" w:cs="Times New Roman"/>
          <w:sz w:val="22"/>
          <w:szCs w:val="22"/>
          <w:lang w:val="sr-Cyrl-CS"/>
        </w:rPr>
        <w:t>. године.</w:t>
      </w:r>
    </w:p>
    <w:p>
      <w:pPr>
        <w:pStyle w:val="16"/>
        <w:ind w:left="108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 xml:space="preserve">Назив пројекта: </w:t>
      </w:r>
      <w:r>
        <w:rPr>
          <w:rFonts w:ascii="Times New Roman" w:hAnsi="Times New Roman" w:cs="Times New Roman"/>
          <w:sz w:val="22"/>
          <w:szCs w:val="22"/>
          <w:lang w:val="sr-Cyrl-RS"/>
        </w:rPr>
        <w:t>„Инвестиционо одржавање цркве у Саранову“</w:t>
      </w:r>
    </w:p>
    <w:p>
      <w:pPr>
        <w:pStyle w:val="16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>
      <w:pPr>
        <w:pStyle w:val="16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 xml:space="preserve">Назив подносиоца пријаве: Црквена општина јарушичка- храм Светог архангела Гаврила у Горњим Јарушицама </w:t>
      </w:r>
    </w:p>
    <w:p>
      <w:pPr>
        <w:pStyle w:val="16"/>
        <w:ind w:left="108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 xml:space="preserve">Датум предаје документације: Пријава, број: </w:t>
      </w:r>
      <w:r>
        <w:rPr>
          <w:rFonts w:ascii="Times New Roman" w:hAnsi="Times New Roman" w:cs="Times New Roman"/>
          <w:sz w:val="22"/>
          <w:szCs w:val="22"/>
        </w:rPr>
        <w:t>401-270</w:t>
      </w:r>
      <w:r>
        <w:rPr>
          <w:rFonts w:ascii="Times New Roman" w:hAnsi="Times New Roman" w:cs="Times New Roman"/>
          <w:sz w:val="22"/>
          <w:szCs w:val="22"/>
          <w:lang w:val="sr-Cyrl-CS"/>
        </w:rPr>
        <w:t>/20</w:t>
      </w:r>
      <w:r>
        <w:rPr>
          <w:rFonts w:ascii="Times New Roman" w:hAnsi="Times New Roman" w:cs="Times New Roman"/>
          <w:sz w:val="22"/>
          <w:szCs w:val="22"/>
        </w:rPr>
        <w:t>23</w:t>
      </w:r>
      <w:r>
        <w:rPr>
          <w:rFonts w:ascii="Times New Roman" w:hAnsi="Times New Roman" w:cs="Times New Roman"/>
          <w:sz w:val="22"/>
          <w:szCs w:val="22"/>
          <w:lang w:val="sr-Cyrl-CS"/>
        </w:rPr>
        <w:t>-</w:t>
      </w:r>
      <w:r>
        <w:rPr>
          <w:rFonts w:ascii="Times New Roman" w:hAnsi="Times New Roman" w:cs="Times New Roman"/>
          <w:sz w:val="22"/>
          <w:szCs w:val="22"/>
        </w:rPr>
        <w:t>II-02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је примљена дана </w:t>
      </w:r>
      <w:r>
        <w:rPr>
          <w:rFonts w:ascii="Times New Roman" w:hAnsi="Times New Roman" w:cs="Times New Roman"/>
          <w:sz w:val="22"/>
          <w:szCs w:val="22"/>
        </w:rPr>
        <w:t>19.06.</w:t>
      </w:r>
      <w:r>
        <w:rPr>
          <w:rFonts w:ascii="Times New Roman" w:hAnsi="Times New Roman" w:cs="Times New Roman"/>
          <w:sz w:val="22"/>
          <w:szCs w:val="22"/>
          <w:lang w:val="sr-Cyrl-RS"/>
        </w:rPr>
        <w:t>2023.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године .</w:t>
      </w:r>
    </w:p>
    <w:p>
      <w:pPr>
        <w:pStyle w:val="16"/>
        <w:ind w:left="1080"/>
        <w:jc w:val="both"/>
        <w:rPr>
          <w:rFonts w:hint="default"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 xml:space="preserve">Назив пројекта : </w:t>
      </w:r>
      <w:r>
        <w:rPr>
          <w:rFonts w:ascii="Times New Roman" w:hAnsi="Times New Roman" w:cs="Times New Roman"/>
          <w:sz w:val="22"/>
          <w:szCs w:val="22"/>
          <w:lang w:val="sr-Cyrl-RS"/>
        </w:rPr>
        <w:t>„Ограђивање црквене порте и израда потпорних зидова при храму Светог архангела Гаврила у Јарушицама“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.</w:t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Црквена општина јарушичка - храм Светог архангела Гаврила у Горњим Јарушицама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RS"/>
        </w:rPr>
        <w:t>није доставила потребну документацију потребну како би се испунили услови Конкурса, није доставила предмер и предрачун и самим тим је комисија одбацила пријаву као непотпуну.</w:t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Црквена општина сарановачка- храм Успенија Пресвете Богородице је испунила све услове за доделу средстава.</w:t>
      </w:r>
    </w:p>
    <w:p>
      <w:pPr>
        <w:ind w:firstLine="709"/>
        <w:jc w:val="both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У току процедуре Конкурса све изнад наведене црквене општине су испуниле законске услове за доделу средстава.</w:t>
      </w:r>
    </w:p>
    <w:p>
      <w:pPr>
        <w:ind w:firstLine="709"/>
        <w:jc w:val="both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ascii="Times New Roman" w:hAnsi="Times New Roman" w:eastAsia="Calibri" w:cs="Times New Roman"/>
          <w:sz w:val="22"/>
          <w:szCs w:val="22"/>
          <w:lang w:val="sr-Cyrl-RS"/>
        </w:rPr>
        <w:t>На</w:t>
      </w:r>
      <w:r>
        <w:rPr>
          <w:rFonts w:hint="default" w:ascii="Times New Roman" w:hAnsi="Times New Roman" w:eastAsia="Calibri" w:cs="Times New Roman"/>
          <w:sz w:val="22"/>
          <w:szCs w:val="22"/>
          <w:lang w:val="sr-Cyrl-RS"/>
        </w:rPr>
        <w:t xml:space="preserve"> основу свега наведеног </w:t>
      </w:r>
      <w:r>
        <w:rPr>
          <w:rFonts w:ascii="Times New Roman" w:hAnsi="Times New Roman" w:eastAsia="Calibri" w:cs="Times New Roman"/>
          <w:sz w:val="22"/>
          <w:szCs w:val="22"/>
        </w:rPr>
        <w:t>донета је одлука као у изреци.</w:t>
      </w:r>
    </w:p>
    <w:p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ОПШТИНСКО ВЕЋЕ  </w:t>
      </w:r>
      <w:r>
        <w:rPr>
          <w:rFonts w:ascii="Times New Roman" w:hAnsi="Times New Roman" w:cs="Times New Roman"/>
          <w:b/>
          <w:sz w:val="22"/>
          <w:szCs w:val="22"/>
        </w:rPr>
        <w:t>ОПШТИНЕ РАЧА</w:t>
      </w:r>
    </w:p>
    <w:p>
      <w:pPr>
        <w:jc w:val="right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 Р Е Д С Е Д Н И К</w:t>
      </w:r>
      <w:r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 </w:t>
      </w:r>
    </w:p>
    <w:p>
      <w:pPr>
        <w:jc w:val="center"/>
        <w:rPr>
          <w:rFonts w:hint="default" w:ascii="Times New Roman" w:hAnsi="Times New Roman" w:cs="Times New Roman"/>
          <w:bCs/>
          <w:spacing w:val="-4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Cs/>
          <w:spacing w:val="-4"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bCs/>
          <w:spacing w:val="-4"/>
          <w:sz w:val="22"/>
          <w:szCs w:val="22"/>
          <w:lang w:val="sr-Cyrl-RS"/>
        </w:rPr>
        <w:t xml:space="preserve">  </w:t>
      </w:r>
      <w:r>
        <w:rPr>
          <w:rFonts w:ascii="Times New Roman" w:hAnsi="Times New Roman" w:cs="Times New Roman"/>
          <w:bCs/>
          <w:spacing w:val="-4"/>
          <w:sz w:val="22"/>
          <w:szCs w:val="22"/>
        </w:rPr>
        <w:t>Ненад Савковић</w:t>
      </w:r>
      <w:r>
        <w:rPr>
          <w:rFonts w:hint="default" w:ascii="Times New Roman" w:hAnsi="Times New Roman" w:cs="Times New Roman"/>
          <w:bCs/>
          <w:spacing w:val="-4"/>
          <w:sz w:val="22"/>
          <w:szCs w:val="22"/>
          <w:lang w:val="sr-Cyrl-RS"/>
        </w:rPr>
        <w:t>, с. р.</w:t>
      </w: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r>
        <w:rPr>
          <w:rFonts w:ascii="Times New Roman" w:hAnsi="Times New Roman" w:cs="Times New Roman"/>
          <w:b/>
          <w:sz w:val="22"/>
          <w:u w:val="single"/>
        </w:rPr>
        <w:t>оставити:</w:t>
      </w:r>
    </w:p>
    <w:p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>
        <w:rPr>
          <w:rFonts w:hint="default" w:ascii="Times New Roman" w:hAnsi="Times New Roman" w:cs="Times New Roman"/>
          <w:sz w:val="22"/>
          <w:lang w:val="sr-Cyrl-RS"/>
        </w:rPr>
        <w:t>П</w:t>
      </w:r>
      <w:r>
        <w:rPr>
          <w:rFonts w:ascii="Times New Roman" w:hAnsi="Times New Roman" w:cs="Times New Roman"/>
          <w:sz w:val="22"/>
        </w:rPr>
        <w:t>односиоцима одобрених пројекта,</w:t>
      </w:r>
    </w:p>
    <w:p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>
        <w:rPr>
          <w:rFonts w:ascii="Times New Roman" w:hAnsi="Times New Roman" w:cs="Times New Roman"/>
          <w:sz w:val="22"/>
          <w:lang w:val="sr-Cyrl-RS"/>
        </w:rPr>
        <w:t>П</w:t>
      </w:r>
      <w:r>
        <w:rPr>
          <w:rFonts w:ascii="Times New Roman" w:hAnsi="Times New Roman" w:cs="Times New Roman"/>
          <w:sz w:val="22"/>
        </w:rPr>
        <w:t>редседнику Комисије,</w:t>
      </w:r>
    </w:p>
    <w:p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Одељењу за привреду, пољопривреду,буџет и финансије Општинске управе општине Рача,</w:t>
      </w:r>
    </w:p>
    <w:p>
      <w:pPr>
        <w:spacing w:after="0"/>
        <w:rPr>
          <w:rFonts w:hint="default"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sz w:val="22"/>
        </w:rPr>
        <w:t xml:space="preserve">- </w:t>
      </w:r>
      <w:r>
        <w:rPr>
          <w:rFonts w:ascii="Times New Roman" w:hAnsi="Times New Roman" w:cs="Times New Roman"/>
          <w:sz w:val="22"/>
          <w:lang w:val="sr-Cyrl-RS"/>
        </w:rPr>
        <w:t>А</w:t>
      </w:r>
      <w:r>
        <w:rPr>
          <w:rFonts w:ascii="Times New Roman" w:hAnsi="Times New Roman" w:cs="Times New Roman"/>
          <w:sz w:val="22"/>
        </w:rPr>
        <w:t>рхиви</w:t>
      </w:r>
      <w:r>
        <w:rPr>
          <w:rFonts w:hint="default" w:ascii="Times New Roman" w:hAnsi="Times New Roman" w:cs="Times New Roman"/>
          <w:sz w:val="22"/>
          <w:lang w:val="sr-Cyrl-RS"/>
        </w:rPr>
        <w:t>.</w:t>
      </w: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sz w:val="22"/>
          <w:szCs w:val="22"/>
        </w:rPr>
      </w:pPr>
    </w:p>
    <w:sectPr>
      <w:pgSz w:w="11906" w:h="16838"/>
      <w:pgMar w:top="1440" w:right="926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9343051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803BE"/>
    <w:multiLevelType w:val="multilevel"/>
    <w:tmpl w:val="7CB803BE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71"/>
    <w:rsid w:val="00027D49"/>
    <w:rsid w:val="00035871"/>
    <w:rsid w:val="00035904"/>
    <w:rsid w:val="00055FB4"/>
    <w:rsid w:val="00066705"/>
    <w:rsid w:val="000A7DC3"/>
    <w:rsid w:val="000B7D36"/>
    <w:rsid w:val="000E051E"/>
    <w:rsid w:val="00103E6F"/>
    <w:rsid w:val="00106468"/>
    <w:rsid w:val="00114C6E"/>
    <w:rsid w:val="00115F9E"/>
    <w:rsid w:val="0014601C"/>
    <w:rsid w:val="00167290"/>
    <w:rsid w:val="00186FA2"/>
    <w:rsid w:val="00193EF2"/>
    <w:rsid w:val="001A6F7A"/>
    <w:rsid w:val="001D3DF7"/>
    <w:rsid w:val="00247BBB"/>
    <w:rsid w:val="00254AB8"/>
    <w:rsid w:val="00275210"/>
    <w:rsid w:val="00283664"/>
    <w:rsid w:val="002B52DC"/>
    <w:rsid w:val="002C6A7B"/>
    <w:rsid w:val="002E628E"/>
    <w:rsid w:val="0030242C"/>
    <w:rsid w:val="003A0416"/>
    <w:rsid w:val="003C1F3B"/>
    <w:rsid w:val="003C553E"/>
    <w:rsid w:val="003E30D7"/>
    <w:rsid w:val="004016A2"/>
    <w:rsid w:val="00464A8F"/>
    <w:rsid w:val="00496FAA"/>
    <w:rsid w:val="004B133D"/>
    <w:rsid w:val="004D0398"/>
    <w:rsid w:val="00505BA3"/>
    <w:rsid w:val="005516A7"/>
    <w:rsid w:val="00584EBE"/>
    <w:rsid w:val="00591F3A"/>
    <w:rsid w:val="005E621A"/>
    <w:rsid w:val="005F2A0F"/>
    <w:rsid w:val="00625816"/>
    <w:rsid w:val="006337DD"/>
    <w:rsid w:val="00642DD0"/>
    <w:rsid w:val="0065375F"/>
    <w:rsid w:val="006B27CD"/>
    <w:rsid w:val="006C1318"/>
    <w:rsid w:val="006C462C"/>
    <w:rsid w:val="0077476A"/>
    <w:rsid w:val="007A1D13"/>
    <w:rsid w:val="007A7D09"/>
    <w:rsid w:val="007D3A81"/>
    <w:rsid w:val="007F30A6"/>
    <w:rsid w:val="00805816"/>
    <w:rsid w:val="008075C1"/>
    <w:rsid w:val="00860FFE"/>
    <w:rsid w:val="00871ABD"/>
    <w:rsid w:val="00880EB4"/>
    <w:rsid w:val="00890686"/>
    <w:rsid w:val="008B4BB5"/>
    <w:rsid w:val="008C7609"/>
    <w:rsid w:val="008D08DE"/>
    <w:rsid w:val="008D5300"/>
    <w:rsid w:val="00910B31"/>
    <w:rsid w:val="009308CE"/>
    <w:rsid w:val="00983D8A"/>
    <w:rsid w:val="009C1B79"/>
    <w:rsid w:val="009E12B1"/>
    <w:rsid w:val="009E58B5"/>
    <w:rsid w:val="00A17E92"/>
    <w:rsid w:val="00A20997"/>
    <w:rsid w:val="00A52EC3"/>
    <w:rsid w:val="00A56007"/>
    <w:rsid w:val="00A66593"/>
    <w:rsid w:val="00AA7AB2"/>
    <w:rsid w:val="00AB630D"/>
    <w:rsid w:val="00AE120E"/>
    <w:rsid w:val="00AF542B"/>
    <w:rsid w:val="00B4057D"/>
    <w:rsid w:val="00BD72AB"/>
    <w:rsid w:val="00C362E0"/>
    <w:rsid w:val="00C43C6D"/>
    <w:rsid w:val="00C467FB"/>
    <w:rsid w:val="00C51DAD"/>
    <w:rsid w:val="00C61E21"/>
    <w:rsid w:val="00CA1A7B"/>
    <w:rsid w:val="00CE7DC8"/>
    <w:rsid w:val="00CF7539"/>
    <w:rsid w:val="00D0710E"/>
    <w:rsid w:val="00D77378"/>
    <w:rsid w:val="00D867F1"/>
    <w:rsid w:val="00DB49CC"/>
    <w:rsid w:val="00DE6C66"/>
    <w:rsid w:val="00DF18A2"/>
    <w:rsid w:val="00E165FF"/>
    <w:rsid w:val="00EA7F9A"/>
    <w:rsid w:val="00EB1D45"/>
    <w:rsid w:val="00EB4C95"/>
    <w:rsid w:val="00EC0C2C"/>
    <w:rsid w:val="00EC3D7B"/>
    <w:rsid w:val="00EE10F9"/>
    <w:rsid w:val="00F52158"/>
    <w:rsid w:val="00F60755"/>
    <w:rsid w:val="00FF22D0"/>
    <w:rsid w:val="00FF710C"/>
    <w:rsid w:val="0C332440"/>
    <w:rsid w:val="47200AC8"/>
    <w:rsid w:val="4A4173DD"/>
    <w:rsid w:val="4AF06C35"/>
    <w:rsid w:val="5C63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  <w:ind w:left="0" w:right="0" w:firstLine="0"/>
    </w:pPr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qFormat/>
    <w:uiPriority w:val="0"/>
    <w:rPr>
      <w:sz w:val="16"/>
      <w:szCs w:val="16"/>
    </w:rPr>
  </w:style>
  <w:style w:type="paragraph" w:styleId="6">
    <w:name w:val="annotation text"/>
    <w:basedOn w:val="1"/>
    <w:link w:val="12"/>
    <w:uiPriority w:val="0"/>
    <w:pPr>
      <w:spacing w:line="240" w:lineRule="auto"/>
    </w:pPr>
  </w:style>
  <w:style w:type="paragraph" w:styleId="7">
    <w:name w:val="footer"/>
    <w:basedOn w:val="1"/>
    <w:link w:val="13"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7"/>
    <w:unhideWhenUsed/>
    <w:qFormat/>
    <w:uiPriority w:val="0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sz w:val="24"/>
      <w:szCs w:val="22"/>
      <w:lang w:eastAsia="en-US"/>
    </w:rPr>
  </w:style>
  <w:style w:type="character" w:styleId="9">
    <w:name w:val="Hyperlink"/>
    <w:basedOn w:val="2"/>
    <w:qFormat/>
    <w:uiPriority w:val="0"/>
    <w:rPr>
      <w:color w:val="0000FF"/>
      <w:u w:val="single"/>
    </w:rPr>
  </w:style>
  <w:style w:type="paragraph" w:styleId="10">
    <w:name w:val="Normal (Web)"/>
    <w:basedOn w:val="1"/>
    <w:unhideWhenUsed/>
    <w:qFormat/>
    <w:uiPriority w:val="99"/>
    <w:pPr>
      <w:shd w:val="clear" w:color="auto" w:fill="F2F4F9"/>
      <w:spacing w:before="150" w:after="150" w:line="345" w:lineRule="atLeast"/>
      <w:ind w:left="720"/>
      <w:jc w:val="both"/>
    </w:pPr>
    <w:rPr>
      <w:rFonts w:ascii="Times New Roman" w:hAnsi="Times New Roman" w:eastAsia="Times New Roman" w:cs="Times New Roman"/>
      <w:color w:val="3E474C"/>
      <w:sz w:val="24"/>
      <w:szCs w:val="24"/>
      <w:lang w:eastAsia="en-US"/>
    </w:rPr>
  </w:style>
  <w:style w:type="table" w:styleId="11">
    <w:name w:val="Table Grid"/>
    <w:basedOn w:val="3"/>
    <w:qFormat/>
    <w:uiPriority w:val="0"/>
    <w:pPr>
      <w:ind w:left="0" w:right="0" w:firstLine="0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Comment Text Char"/>
    <w:basedOn w:val="2"/>
    <w:link w:val="6"/>
    <w:qFormat/>
    <w:uiPriority w:val="0"/>
    <w:rPr>
      <w:rFonts w:eastAsiaTheme="minorEastAsia"/>
      <w:sz w:val="20"/>
      <w:szCs w:val="20"/>
      <w:lang w:eastAsia="zh-CN"/>
    </w:rPr>
  </w:style>
  <w:style w:type="character" w:customStyle="1" w:styleId="13">
    <w:name w:val="Footer Char"/>
    <w:basedOn w:val="2"/>
    <w:link w:val="7"/>
    <w:qFormat/>
    <w:uiPriority w:val="99"/>
    <w:rPr>
      <w:rFonts w:eastAsiaTheme="minorEastAsia"/>
      <w:sz w:val="20"/>
      <w:szCs w:val="20"/>
      <w:lang w:eastAsia="zh-CN"/>
    </w:rPr>
  </w:style>
  <w:style w:type="paragraph" w:styleId="14">
    <w:name w:val="No Spacing"/>
    <w:qFormat/>
    <w:uiPriority w:val="1"/>
    <w:pPr>
      <w:ind w:left="0" w:right="0" w:firstLine="0"/>
    </w:pPr>
    <w:rPr>
      <w:rFonts w:ascii="Times New Roman" w:hAnsi="Times New Roman" w:eastAsia="Calibri" w:cs="Times New Roman"/>
      <w:sz w:val="24"/>
      <w:szCs w:val="22"/>
      <w:lang w:val="en-US" w:eastAsia="en-US" w:bidi="ar-SA"/>
    </w:rPr>
  </w:style>
  <w:style w:type="character" w:customStyle="1" w:styleId="15">
    <w:name w:val="Balloon Text Char"/>
    <w:basedOn w:val="2"/>
    <w:link w:val="4"/>
    <w:semiHidden/>
    <w:qFormat/>
    <w:uiPriority w:val="99"/>
    <w:rPr>
      <w:rFonts w:ascii="Segoe UI" w:hAnsi="Segoe UI" w:cs="Segoe UI" w:eastAsiaTheme="minorEastAsia"/>
      <w:sz w:val="18"/>
      <w:szCs w:val="18"/>
      <w:lang w:eastAsia="zh-CN"/>
    </w:rPr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17">
    <w:name w:val="Header Char"/>
    <w:basedOn w:val="2"/>
    <w:link w:val="8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96EF9-BACC-4073-B915-6BE29FB91C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1484</Words>
  <Characters>8463</Characters>
  <Lines>70</Lines>
  <Paragraphs>19</Paragraphs>
  <TotalTime>9</TotalTime>
  <ScaleCrop>false</ScaleCrop>
  <LinksUpToDate>false</LinksUpToDate>
  <CharactersWithSpaces>9928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2023-07-28T08:28:00Z</dcterms:created>
  <dc:creator>Dragana Aleksic</dc:creator>
  <cp:lastModifiedBy>sekre</cp:lastModifiedBy>
  <cp:lastPrinted>2023-07-31T13:48:27Z</cp:lastPrinted>
  <dcterms:modified xsi:type="dcterms:W3CDTF">2023-07-31T13:50:53Z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9E6D55D531BE486DA22F8649E8EB6DCF</vt:lpwstr>
  </property>
</Properties>
</file>