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044"/>
        <w:gridCol w:w="2806"/>
        <w:gridCol w:w="27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1" w:type="pct"/>
            <w:vMerge w:val="restart"/>
          </w:tcPr>
          <w:p>
            <w:pPr>
              <w:pStyle w:val="6"/>
              <w:spacing w:before="40" w:after="40"/>
            </w:pPr>
            <w:r>
              <w:rPr>
                <w:lang w:val="sr-Latn-RS" w:eastAsia="sr-Latn-RS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ОДЛУКА ОПШТИНСКОГ ВЕЋА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1" w:type="pct"/>
            <w:vMerge w:val="continue"/>
          </w:tcPr>
          <w:p>
            <w:pPr>
              <w:pStyle w:val="6"/>
            </w:pPr>
          </w:p>
        </w:tc>
        <w:tc>
          <w:tcPr>
            <w:tcW w:w="1560" w:type="pct"/>
            <w:tcBorders>
              <w:right w:val="dashSmallGap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ОЗНАКА: С.08-03</w:t>
            </w:r>
          </w:p>
        </w:tc>
        <w:tc>
          <w:tcPr>
            <w:tcW w:w="1439" w:type="pct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ВЕРЗИЈА: 1</w:t>
            </w:r>
          </w:p>
        </w:tc>
        <w:tc>
          <w:tcPr>
            <w:tcW w:w="1420" w:type="pct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Страница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PAGE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од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NUMPAGES 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7"/>
        <w:shd w:val="clear" w:color="auto" w:fill="auto"/>
        <w:ind w:left="0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ПРЕДЛОГ</w:t>
      </w:r>
    </w:p>
    <w:tbl>
      <w:tblPr>
        <w:tblStyle w:val="3"/>
        <w:tblW w:w="5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9"/>
        <w:gridCol w:w="4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sr-Cyrl-CS"/>
              </w:rPr>
              <w:t>РЕПУБЛИКА СРБИЈА – ОПШТИНА РАЧА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ОПШТИНСКО ВЕЋЕ ОПШТИНЕ РАЧА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sr-Cyrl-CS"/>
              </w:rPr>
              <w:t>Број:</w:t>
            </w:r>
          </w:p>
        </w:tc>
        <w:tc>
          <w:tcPr>
            <w:tcW w:w="4543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401-251/2023-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Датум</w:t>
            </w: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</w:p>
        </w:tc>
        <w:tc>
          <w:tcPr>
            <w:tcW w:w="433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02.06.2023. године.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2"/>
        </w:rPr>
      </w:pPr>
    </w:p>
    <w:p>
      <w:pPr>
        <w:pStyle w:val="7"/>
        <w:shd w:val="clear" w:color="auto" w:fill="auto"/>
        <w:ind w:left="0" w:firstLine="720"/>
        <w:rPr>
          <w:sz w:val="22"/>
          <w:szCs w:val="22"/>
        </w:rPr>
      </w:pPr>
      <w:r>
        <w:rPr>
          <w:color w:val="auto"/>
          <w:sz w:val="22"/>
          <w:szCs w:val="22"/>
        </w:rPr>
        <w:t>На основу члана 32. став</w:t>
      </w:r>
      <w:r>
        <w:rPr>
          <w:color w:val="auto"/>
          <w:sz w:val="22"/>
          <w:szCs w:val="22"/>
          <w:lang w:val="sr-Cyrl-RS"/>
        </w:rPr>
        <w:t>а</w:t>
      </w:r>
      <w:r>
        <w:rPr>
          <w:color w:val="auto"/>
          <w:sz w:val="22"/>
          <w:szCs w:val="22"/>
        </w:rPr>
        <w:t xml:space="preserve"> 6. Закона о црквама и верским заједницама („Сл. </w:t>
      </w:r>
      <w:r>
        <w:rPr>
          <w:color w:val="auto"/>
          <w:sz w:val="22"/>
          <w:szCs w:val="22"/>
          <w:lang w:val="sr-Cyrl-RS"/>
        </w:rPr>
        <w:t>г</w:t>
      </w:r>
      <w:r>
        <w:rPr>
          <w:color w:val="auto"/>
          <w:sz w:val="22"/>
          <w:szCs w:val="22"/>
        </w:rPr>
        <w:t>ласник РС“, број 36/2006), чланoва 5</w:t>
      </w:r>
      <w:r>
        <w:rPr>
          <w:rFonts w:hint="default"/>
          <w:color w:val="auto"/>
          <w:sz w:val="22"/>
          <w:szCs w:val="22"/>
          <w:lang w:val="sr-Cyrl-RS"/>
        </w:rPr>
        <w:t>.</w:t>
      </w:r>
      <w:r>
        <w:rPr>
          <w:color w:val="auto"/>
          <w:sz w:val="22"/>
          <w:szCs w:val="22"/>
        </w:rPr>
        <w:t>, 9</w:t>
      </w:r>
      <w:r>
        <w:rPr>
          <w:rFonts w:hint="default"/>
          <w:color w:val="auto"/>
          <w:sz w:val="22"/>
          <w:szCs w:val="22"/>
          <w:lang w:val="sr-Cyrl-RS"/>
        </w:rPr>
        <w:t>.</w:t>
      </w:r>
      <w:r>
        <w:rPr>
          <w:color w:val="auto"/>
          <w:sz w:val="22"/>
          <w:szCs w:val="22"/>
        </w:rPr>
        <w:t>-15</w:t>
      </w:r>
      <w:r>
        <w:rPr>
          <w:rFonts w:hint="default"/>
          <w:color w:val="auto"/>
          <w:sz w:val="22"/>
          <w:szCs w:val="22"/>
          <w:lang w:val="sr-Cyrl-RS"/>
        </w:rPr>
        <w:t>.</w:t>
      </w:r>
      <w:r>
        <w:rPr>
          <w:color w:val="auto"/>
          <w:sz w:val="22"/>
          <w:szCs w:val="22"/>
        </w:rPr>
        <w:t>, 20., 22</w:t>
      </w:r>
      <w:r>
        <w:rPr>
          <w:rFonts w:hint="default"/>
          <w:color w:val="auto"/>
          <w:sz w:val="22"/>
          <w:szCs w:val="22"/>
          <w:lang w:val="sr-Cyrl-RS"/>
        </w:rPr>
        <w:t>.</w:t>
      </w:r>
      <w:r>
        <w:rPr>
          <w:color w:val="auto"/>
          <w:sz w:val="22"/>
          <w:szCs w:val="22"/>
        </w:rPr>
        <w:t xml:space="preserve"> и 24.. Правилника о начину и поступку доделе средстава традиционалним цркавама и верским заједницама на територији општине Рача ( </w:t>
      </w:r>
      <w:r>
        <w:rPr>
          <w:rFonts w:hint="default"/>
          <w:color w:val="auto"/>
          <w:sz w:val="22"/>
          <w:szCs w:val="22"/>
          <w:lang w:val="sr-Cyrl-RS"/>
        </w:rPr>
        <w:t>“</w:t>
      </w:r>
      <w:r>
        <w:rPr>
          <w:color w:val="auto"/>
          <w:sz w:val="22"/>
          <w:szCs w:val="22"/>
        </w:rPr>
        <w:t>Службени гласник општине Рача</w:t>
      </w:r>
      <w:r>
        <w:rPr>
          <w:rFonts w:hint="default"/>
          <w:color w:val="auto"/>
          <w:sz w:val="22"/>
          <w:szCs w:val="22"/>
          <w:lang w:val="sr-Cyrl-RS"/>
        </w:rPr>
        <w:t>”,</w:t>
      </w:r>
      <w:r>
        <w:rPr>
          <w:color w:val="auto"/>
          <w:sz w:val="22"/>
          <w:szCs w:val="22"/>
        </w:rPr>
        <w:t xml:space="preserve"> број 21/2019),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 број: 16/2018), Општинско веће општине Рача,</w:t>
      </w:r>
      <w:r>
        <w:rPr>
          <w:rFonts w:hint="default"/>
          <w:color w:val="auto"/>
          <w:sz w:val="22"/>
          <w:szCs w:val="22"/>
          <w:lang w:val="sr-Cyrl-RS"/>
        </w:rPr>
        <w:t xml:space="preserve"> на седници одржаној</w:t>
      </w:r>
      <w:r>
        <w:rPr>
          <w:color w:val="auto"/>
          <w:sz w:val="22"/>
          <w:szCs w:val="22"/>
        </w:rPr>
        <w:t xml:space="preserve"> дана </w:t>
      </w:r>
      <w:r>
        <w:rPr>
          <w:rFonts w:hint="default"/>
          <w:color w:val="auto"/>
          <w:sz w:val="22"/>
          <w:szCs w:val="22"/>
          <w:lang w:val="sr-Cyrl-RS"/>
        </w:rPr>
        <w:t>02</w:t>
      </w:r>
      <w:r>
        <w:rPr>
          <w:color w:val="auto"/>
          <w:sz w:val="22"/>
          <w:szCs w:val="22"/>
        </w:rPr>
        <w:t>.</w:t>
      </w:r>
      <w:r>
        <w:rPr>
          <w:rFonts w:hint="default"/>
          <w:color w:val="auto"/>
          <w:sz w:val="22"/>
          <w:szCs w:val="22"/>
          <w:lang w:val="sr-Cyrl-RS"/>
        </w:rPr>
        <w:t>06</w:t>
      </w:r>
      <w:r>
        <w:rPr>
          <w:color w:val="auto"/>
          <w:sz w:val="22"/>
          <w:szCs w:val="22"/>
        </w:rPr>
        <w:t>.2023.</w:t>
      </w:r>
      <w:r>
        <w:rPr>
          <w:rFonts w:hint="default"/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</w:rPr>
        <w:t>године, доноси</w:t>
      </w:r>
      <w:r>
        <w:rPr>
          <w:sz w:val="22"/>
          <w:szCs w:val="22"/>
        </w:rPr>
        <w:t>:</w:t>
      </w:r>
    </w:p>
    <w:p>
      <w:pPr>
        <w:pStyle w:val="7"/>
        <w:shd w:val="clear" w:color="auto" w:fill="auto"/>
        <w:jc w:val="center"/>
        <w:rPr>
          <w:rStyle w:val="8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 xml:space="preserve">Одлуку о расписивању </w:t>
      </w:r>
    </w:p>
    <w:p>
      <w:pPr>
        <w:pStyle w:val="7"/>
        <w:shd w:val="clear" w:color="auto" w:fill="auto"/>
        <w:jc w:val="center"/>
        <w:rPr>
          <w:rStyle w:val="8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ЈАВНОГ КОНКУРСА</w:t>
      </w:r>
      <w:r>
        <w:rPr>
          <w:b/>
          <w:bCs/>
          <w:color w:val="auto"/>
          <w:sz w:val="22"/>
          <w:szCs w:val="22"/>
        </w:rPr>
        <w:br w:type="textWrapping"/>
      </w:r>
      <w:r>
        <w:rPr>
          <w:rStyle w:val="8"/>
          <w:color w:val="auto"/>
          <w:sz w:val="22"/>
          <w:szCs w:val="22"/>
        </w:rPr>
        <w:t>за доделу средства традиционалним црквама и верским заједницама из буџета општине Рача у 2023.</w:t>
      </w:r>
      <w:r>
        <w:rPr>
          <w:rStyle w:val="8"/>
          <w:rFonts w:hint="default"/>
          <w:color w:val="auto"/>
          <w:sz w:val="22"/>
          <w:szCs w:val="22"/>
          <w:lang w:val="sr-Cyrl-RS"/>
        </w:rPr>
        <w:t xml:space="preserve"> </w:t>
      </w:r>
      <w:r>
        <w:rPr>
          <w:rStyle w:val="8"/>
          <w:color w:val="auto"/>
          <w:sz w:val="22"/>
          <w:szCs w:val="22"/>
        </w:rPr>
        <w:t>години</w:t>
      </w:r>
    </w:p>
    <w:p>
      <w:pPr>
        <w:pStyle w:val="7"/>
        <w:shd w:val="clear" w:color="auto" w:fill="auto"/>
        <w:jc w:val="center"/>
        <w:rPr>
          <w:sz w:val="22"/>
          <w:szCs w:val="22"/>
        </w:rPr>
      </w:pPr>
    </w:p>
    <w:p>
      <w:pPr>
        <w:pStyle w:val="7"/>
        <w:numPr>
          <w:ilvl w:val="0"/>
          <w:numId w:val="1"/>
        </w:numPr>
        <w:shd w:val="clear" w:color="auto" w:fill="auto"/>
        <w:ind w:left="0"/>
        <w:rPr>
          <w:rStyle w:val="8"/>
          <w:bCs w:val="0"/>
          <w:color w:val="auto"/>
          <w:sz w:val="22"/>
          <w:szCs w:val="22"/>
        </w:rPr>
      </w:pPr>
      <w:r>
        <w:rPr>
          <w:rStyle w:val="8"/>
          <w:bCs w:val="0"/>
          <w:color w:val="auto"/>
          <w:sz w:val="22"/>
          <w:szCs w:val="22"/>
        </w:rPr>
        <w:t>Предмет јавног конкурса</w:t>
      </w:r>
    </w:p>
    <w:p>
      <w:pPr>
        <w:pStyle w:val="7"/>
        <w:shd w:val="clear" w:color="auto" w:fill="auto"/>
        <w:ind w:left="0"/>
        <w:rPr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Расписује се</w:t>
      </w:r>
      <w:r>
        <w:rPr>
          <w:rStyle w:val="9"/>
          <w:b/>
          <w:bCs/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Јавни конкурс за доделу средства традиционалним црквама и традиционалним верским заједницама на територији општине Рача из буџета општине Рача у 2023. години.</w:t>
      </w:r>
    </w:p>
    <w:p>
      <w:pPr>
        <w:pStyle w:val="7"/>
        <w:shd w:val="clear" w:color="auto" w:fill="auto"/>
        <w:ind w:left="0"/>
        <w:rPr>
          <w:color w:val="auto"/>
          <w:sz w:val="22"/>
          <w:szCs w:val="22"/>
        </w:rPr>
      </w:pPr>
    </w:p>
    <w:p>
      <w:pPr>
        <w:pStyle w:val="7"/>
        <w:numPr>
          <w:ilvl w:val="0"/>
          <w:numId w:val="1"/>
        </w:numPr>
        <w:shd w:val="clear" w:color="auto" w:fill="auto"/>
        <w:ind w:left="0"/>
        <w:rPr>
          <w:rStyle w:val="8"/>
          <w:b w:val="0"/>
          <w:bCs w:val="0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Приоритетне области од јавног интереса</w:t>
      </w:r>
    </w:p>
    <w:p>
      <w:pPr>
        <w:pStyle w:val="7"/>
        <w:shd w:val="clear" w:color="auto" w:fill="auto"/>
        <w:ind w:left="0"/>
        <w:rPr>
          <w:rStyle w:val="8"/>
          <w:b w:val="0"/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Средства намењена традиционалним црквама и верским заједницама по овом јавном конкурсу користе се за :</w:t>
      </w:r>
    </w:p>
    <w:p>
      <w:pPr>
        <w:pStyle w:val="10"/>
        <w:numPr>
          <w:ilvl w:val="1"/>
          <w:numId w:val="2"/>
        </w:numPr>
        <w:spacing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изградњу или обнову цркве или верског објекта</w:t>
      </w:r>
    </w:p>
    <w:p>
      <w:pPr>
        <w:pStyle w:val="10"/>
        <w:numPr>
          <w:ilvl w:val="1"/>
          <w:numId w:val="2"/>
        </w:numPr>
        <w:spacing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адаптацију или реконструкцију цркве или верског објекта</w:t>
      </w:r>
    </w:p>
    <w:p>
      <w:pPr>
        <w:pStyle w:val="10"/>
        <w:numPr>
          <w:ilvl w:val="1"/>
          <w:numId w:val="2"/>
        </w:numPr>
        <w:spacing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инвестиционо или текуће одржавање цркве или верског објекта</w:t>
      </w:r>
    </w:p>
    <w:p>
      <w:pPr>
        <w:pStyle w:val="10"/>
        <w:numPr>
          <w:ilvl w:val="1"/>
          <w:numId w:val="2"/>
        </w:numPr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финансирање догађаја битних за цркву или верску заједницу (</w:t>
      </w:r>
      <w:r>
        <w:rPr>
          <w:rFonts w:ascii="Times New Roman" w:hAnsi="Times New Roman" w:eastAsia="Times New Roman" w:cs="Times New Roman"/>
          <w:sz w:val="22"/>
        </w:rPr>
        <w:t>организовање традиционалних годишњица које су посвећене имену које црква носи, стручни и научни скупови, манифестације,...)</w:t>
      </w:r>
    </w:p>
    <w:p>
      <w:pPr>
        <w:spacing w:after="120" w:line="276" w:lineRule="auto"/>
        <w:ind w:firstLine="720"/>
        <w:rPr>
          <w:rFonts w:eastAsia="Times New Roman" w:asciiTheme="majorBidi" w:hAnsiTheme="majorBidi" w:cstheme="majorBidi"/>
          <w:sz w:val="22"/>
        </w:rPr>
      </w:pPr>
    </w:p>
    <w:p>
      <w:pPr>
        <w:pStyle w:val="7"/>
        <w:numPr>
          <w:ilvl w:val="0"/>
          <w:numId w:val="1"/>
        </w:numPr>
        <w:shd w:val="clear" w:color="auto" w:fill="auto"/>
        <w:ind w:left="0"/>
        <w:rPr>
          <w:rStyle w:val="8"/>
          <w:b w:val="0"/>
          <w:bCs w:val="0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Право подношења пријаве</w:t>
      </w:r>
      <w:r>
        <w:rPr>
          <w:rStyle w:val="9"/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по овом јавном конкурсу имају традиционалне цркве и традиционалне верске заједнице које имају седиште или парохију на територији општине Рача.</w:t>
      </w:r>
    </w:p>
    <w:p>
      <w:pPr>
        <w:pStyle w:val="7"/>
        <w:numPr>
          <w:ilvl w:val="0"/>
          <w:numId w:val="1"/>
        </w:numPr>
        <w:shd w:val="clear" w:color="auto" w:fill="auto"/>
        <w:ind w:left="0"/>
        <w:rPr>
          <w:rStyle w:val="8"/>
          <w:b w:val="0"/>
          <w:bCs w:val="0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 xml:space="preserve"> Обим средстава </w:t>
      </w:r>
    </w:p>
    <w:p>
      <w:pPr>
        <w:pStyle w:val="7"/>
        <w:shd w:val="clear" w:color="auto" w:fill="auto"/>
        <w:ind w:left="0"/>
        <w:rPr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Средства</w:t>
      </w:r>
      <w:r>
        <w:rPr>
          <w:rStyle w:val="9"/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за реализацију овог конкурса обезбеђена су у буџету општине Рача за 2023. годину у износу од 2.000.000,00 динара. </w:t>
      </w:r>
    </w:p>
    <w:p>
      <w:pPr>
        <w:pStyle w:val="7"/>
        <w:shd w:val="clear" w:color="auto" w:fill="auto"/>
        <w:ind w:left="0"/>
        <w:rPr>
          <w:sz w:val="22"/>
          <w:szCs w:val="22"/>
        </w:rPr>
      </w:pPr>
    </w:p>
    <w:p>
      <w:pPr>
        <w:pStyle w:val="7"/>
        <w:numPr>
          <w:ilvl w:val="0"/>
          <w:numId w:val="1"/>
        </w:numPr>
        <w:shd w:val="clear" w:color="auto" w:fill="auto"/>
        <w:ind w:left="0" w:firstLine="0"/>
        <w:rPr>
          <w:rStyle w:val="8"/>
          <w:b w:val="0"/>
          <w:bCs w:val="0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Начин пријављивања на конкурс</w:t>
      </w:r>
    </w:p>
    <w:p>
      <w:p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 xml:space="preserve">Пријаве на конкурс подносе се </w:t>
      </w:r>
      <w:r>
        <w:rPr>
          <w:rFonts w:ascii="Times New Roman" w:hAnsi="Times New Roman" w:cs="Times New Roman"/>
          <w:sz w:val="22"/>
        </w:rPr>
        <w:t xml:space="preserve">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Рача, са назнаком </w:t>
      </w:r>
      <w:r>
        <w:rPr>
          <w:rFonts w:ascii="Times New Roman" w:hAnsi="Times New Roman" w:cs="Times New Roman"/>
          <w:b/>
          <w:sz w:val="22"/>
        </w:rPr>
        <w:t>”Пријава на јавни конкурс за традиционалне цркве и верске заједнице у 2023. години“</w:t>
      </w:r>
      <w:r>
        <w:rPr>
          <w:rFonts w:ascii="Times New Roman" w:hAnsi="Times New Roman" w:eastAsia="Times New Roman" w:cs="Times New Roman"/>
          <w:sz w:val="22"/>
        </w:rPr>
        <w:t xml:space="preserve"> , и то најкасније до истека последњег дана утврђеног за подношење пријаве на конкурс.</w:t>
      </w:r>
    </w:p>
    <w:p>
      <w:p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Црква или верска заједница, предлагач пројекта/учесник конкурса, може поднети само једну пријаву на јавни конкурс, са једним предлогом пројекта.</w:t>
      </w:r>
    </w:p>
    <w:p>
      <w:pPr>
        <w:pStyle w:val="7"/>
        <w:numPr>
          <w:ilvl w:val="0"/>
          <w:numId w:val="1"/>
        </w:numPr>
        <w:shd w:val="clear" w:color="auto" w:fill="auto"/>
        <w:rPr>
          <w:rStyle w:val="8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Документација која се подноси: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Попуњен образац предлога пројекта (Прилог 1);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Потписана изјава о прихватању обавезе подносиоца пријаве (Прилог 2)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Картон депонованих потписа 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Број подрачуна отворен код Управе за трезор Министарства финансија</w:t>
      </w:r>
    </w:p>
    <w:p>
      <w:pPr>
        <w:pStyle w:val="7"/>
        <w:numPr>
          <w:ilvl w:val="0"/>
          <w:numId w:val="3"/>
        </w:numPr>
        <w:shd w:val="clear" w:color="auto" w:fil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Цркве и верске заједнице које су користиле средства за финансирање програма/пројеката одобрених од стране општине Рача у години која претходи години у којој конкуришу достављају потврду о правдању средстава </w:t>
      </w:r>
    </w:p>
    <w:p>
      <w:pPr>
        <w:pStyle w:val="7"/>
        <w:numPr>
          <w:ilvl w:val="0"/>
          <w:numId w:val="3"/>
        </w:numPr>
        <w:shd w:val="clear" w:color="auto" w:fill="auto"/>
        <w:rPr>
          <w:rStyle w:val="8"/>
          <w:b w:val="0"/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Одлуку органа цркве или верске заједнице о извођењу радова или спровођењу програма, догађаја, манифестације,</w:t>
      </w:r>
    </w:p>
    <w:p>
      <w:pPr>
        <w:pStyle w:val="7"/>
        <w:numPr>
          <w:ilvl w:val="0"/>
          <w:numId w:val="3"/>
        </w:numPr>
        <w:shd w:val="clear" w:color="auto" w:fill="auto"/>
        <w:rPr>
          <w:rStyle w:val="8"/>
          <w:b w:val="0"/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П</w:t>
      </w:r>
      <w:r>
        <w:rPr>
          <w:color w:val="auto"/>
          <w:sz w:val="22"/>
          <w:szCs w:val="22"/>
        </w:rPr>
        <w:t>редмер и предрачун радова</w:t>
      </w:r>
    </w:p>
    <w:p>
      <w:pPr>
        <w:pStyle w:val="7"/>
        <w:numPr>
          <w:ilvl w:val="0"/>
          <w:numId w:val="3"/>
        </w:numPr>
        <w:shd w:val="clear" w:color="auto" w:fill="auto"/>
        <w:rPr>
          <w:rStyle w:val="8"/>
          <w:b w:val="0"/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Потребне дозволе и сагласности надлежних органа предвиђених законом и другим прописима који регулишу област планирања и изградње уколико је то потребно у зависности од врсте радова.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Писмену изјаву о обезбеђивању сопственог финансирања или суфинансирања;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Писмене изјаве партнера о сарадњи на пројекту, ако се пројекат реализује на тај начин;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Изјаву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 (Прилог 3)</w:t>
      </w:r>
    </w:p>
    <w:p>
      <w:pPr>
        <w:pStyle w:val="10"/>
        <w:numPr>
          <w:ilvl w:val="0"/>
          <w:numId w:val="3"/>
        </w:numPr>
        <w:spacing w:after="120" w:line="276" w:lineRule="auto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Другу документацију која је, по процени предлагача пројекта/учесника конкурса, од значаја за доделу средстава.</w:t>
      </w:r>
    </w:p>
    <w:p>
      <w:pPr>
        <w:spacing w:after="120" w:line="276" w:lineRule="auto"/>
        <w:ind w:firstLine="357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Учесник конкурса предлог пројекта доставља на српском језику у два штампана примерка и на у електронској верзији на CD-у.</w:t>
      </w:r>
    </w:p>
    <w:p>
      <w:pPr>
        <w:pStyle w:val="7"/>
        <w:shd w:val="clear" w:color="auto" w:fill="auto"/>
        <w:ind w:left="0" w:firstLine="357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Образац пријаве се може преузети на Писарници Општинске управе општине Рача , Карађорђева 48, 34210 Рача или на сајту општине Рача www.raca.rs.</w:t>
      </w:r>
    </w:p>
    <w:p>
      <w:pPr>
        <w:pStyle w:val="7"/>
        <w:numPr>
          <w:ilvl w:val="0"/>
          <w:numId w:val="1"/>
        </w:numPr>
        <w:shd w:val="clear" w:color="auto" w:fill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Трајање програма:</w:t>
      </w:r>
    </w:p>
    <w:p>
      <w:pPr>
        <w:pStyle w:val="7"/>
        <w:shd w:val="clear" w:color="auto" w:fil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Рок за реализацију програма/пројекта је 31.12.2023. године.</w:t>
      </w:r>
    </w:p>
    <w:p>
      <w:pPr>
        <w:pStyle w:val="7"/>
        <w:numPr>
          <w:ilvl w:val="0"/>
          <w:numId w:val="1"/>
        </w:numPr>
        <w:shd w:val="clear" w:color="auto" w:fill="auto"/>
        <w:rPr>
          <w:rStyle w:val="9"/>
          <w:b/>
          <w:bCs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 xml:space="preserve"> Критеријуми бодовања за доделу средстава из буџета општине Рача:</w:t>
      </w:r>
      <w:r>
        <w:rPr>
          <w:rStyle w:val="9"/>
          <w:b/>
          <w:bCs/>
          <w:color w:val="auto"/>
          <w:sz w:val="22"/>
          <w:szCs w:val="22"/>
        </w:rPr>
        <w:t> </w:t>
      </w:r>
    </w:p>
    <w:p>
      <w:pPr>
        <w:spacing w:after="120" w:line="276" w:lineRule="auto"/>
        <w:ind w:left="144" w:firstLine="216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Оцена и избор пројеката који ће се финансирати средствима из буџета општине врши се применом следећих основних критеријума: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1) Референци програма: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-област у којој се реализује Програм: карактер и значај Програма (оцена од 0-10 бодова),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–дужина трјања Програма (оцена од 0-10 бодова),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-број корисника програма- (0-10 бодова)</w:t>
      </w:r>
    </w:p>
    <w:p>
      <w:pPr>
        <w:ind w:left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–могућност развијања Програма и његова одрживост: обим унапређења верске слободе и остваривања општег и заједничког интереса у капацитети за одрживост резултата Програма (0-10 бодова),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2) Циљеви који се постижу: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-обим задовољења јавног интереса (0-10 бодова),</w:t>
      </w: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-степен унапређења стања у области у којој се програм спроводи (0-10 бодова)</w:t>
      </w:r>
    </w:p>
    <w:p>
      <w:pPr>
        <w:rPr>
          <w:rFonts w:ascii="Times New Roman" w:hAnsi="Times New Roman" w:eastAsia="Times New Roman" w:cs="Times New Roman"/>
          <w:sz w:val="22"/>
        </w:rPr>
      </w:pPr>
    </w:p>
    <w:p>
      <w:pPr>
        <w:ind w:firstLine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3) суфинасирања програма из других извора</w:t>
      </w:r>
    </w:p>
    <w:p>
      <w:pPr>
        <w:ind w:left="432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-Суфинансирања програма из других извора:сопствених прихода, буџета Републике Србије, општине, фондова Европске уније, донација и друго, у случају недостајућег дела средстава за финансирање Програма (0-10 бодова),</w:t>
      </w:r>
    </w:p>
    <w:p>
      <w:pPr>
        <w:rPr>
          <w:rFonts w:ascii="Times New Roman" w:hAnsi="Times New Roman" w:eastAsia="Times New Roman" w:cs="Times New Roman"/>
          <w:sz w:val="22"/>
        </w:rPr>
      </w:pPr>
    </w:p>
    <w:p>
      <w:pPr>
        <w:ind w:left="432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4) Законитости и ефикасности коришћења средстава и одрживости ранијих Програма – ако су раније коришћшена средстава буџета , да ли су испуњене уговорне обавезе,</w:t>
      </w:r>
    </w:p>
    <w:p>
      <w:pPr>
        <w:ind w:firstLine="360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– за цркве које први пут конкуришу 0_бодова),</w:t>
      </w:r>
    </w:p>
    <w:p>
      <w:pPr>
        <w:pStyle w:val="10"/>
        <w:numPr>
          <w:ilvl w:val="0"/>
          <w:numId w:val="4"/>
        </w:numPr>
        <w:ind w:right="144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за цркве које су реализовале Програме и исуниле уговорне обавезе (0-10 бодова),</w:t>
      </w:r>
    </w:p>
    <w:p>
      <w:pPr>
        <w:ind w:firstLine="360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– за  цркве које нису испуниле уговорне обавезе немају право на доделу средстава,</w:t>
      </w:r>
    </w:p>
    <w:p>
      <w:pPr>
        <w:rPr>
          <w:rFonts w:ascii="Times New Roman" w:hAnsi="Times New Roman" w:eastAsia="Times New Roman" w:cs="Times New Roman"/>
          <w:sz w:val="22"/>
        </w:rPr>
      </w:pPr>
    </w:p>
    <w:p>
      <w:pPr>
        <w:ind w:firstLine="360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5) обавезни критеријуми:</w:t>
      </w:r>
    </w:p>
    <w:p>
      <w:pPr>
        <w:ind w:left="432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-реалан финасијски план , износ суфинансирања, као и различити облици финансирања (0-10 бодова) и</w:t>
      </w:r>
    </w:p>
    <w:p>
      <w:pPr>
        <w:ind w:left="432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-да је подносилац Програма извршио своје обавезе према општини, у досадашњим Програмима  (0-10 бодова)</w:t>
      </w:r>
    </w:p>
    <w:p>
      <w:pPr>
        <w:ind w:left="432"/>
        <w:rPr>
          <w:rFonts w:ascii="Times New Roman" w:hAnsi="Times New Roman" w:eastAsia="Times New Roman" w:cs="Times New Roman"/>
          <w:sz w:val="22"/>
        </w:rPr>
      </w:pPr>
    </w:p>
    <w:p>
      <w:pPr>
        <w:ind w:left="360" w:firstLine="72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Максималан број бодова који подносилац пројекта може да оствари на основу основних критеријума је 100.</w:t>
      </w:r>
      <w:r>
        <w:rPr>
          <w:rFonts w:eastAsia="Times New Roman" w:asciiTheme="majorBidi" w:hAnsiTheme="majorBidi" w:cstheme="majorBidi"/>
          <w:color w:val="000000"/>
          <w:sz w:val="22"/>
        </w:rPr>
        <w:t xml:space="preserve"> </w:t>
      </w:r>
    </w:p>
    <w:p>
      <w:pPr>
        <w:pStyle w:val="7"/>
        <w:numPr>
          <w:ilvl w:val="0"/>
          <w:numId w:val="1"/>
        </w:numPr>
        <w:shd w:val="clear" w:color="auto" w:fill="auto"/>
        <w:rPr>
          <w:rStyle w:val="8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Ближа упутства о условима за подношење пријава, року за доношење одлуке о избору пројекта и жалбеном року</w:t>
      </w:r>
    </w:p>
    <w:p>
      <w:pPr>
        <w:pStyle w:val="7"/>
        <w:shd w:val="clear" w:color="auto" w:fill="auto"/>
        <w:jc w:val="left"/>
        <w:rPr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Прихватљиви трошкови за финансирање су: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Трошкови инфраструктурних радова на објектима који доприносе реализацији предложених активности;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Трошкови израде пројектне документације;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Трошкови набавке услуга;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Трошкови набавке потрошног материјала и материјала за реализацију пројекта;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Остали трошкови који директно произилазе из предложених активности;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Трошкови ПДВ-а.</w:t>
      </w:r>
    </w:p>
    <w:p>
      <w:pPr>
        <w:pStyle w:val="7"/>
        <w:shd w:val="clear" w:color="auto" w:fill="auto"/>
        <w:jc w:val="left"/>
        <w:rPr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Неприхватљиви трошкови за финансирање су :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дугови и покривање губитака или дуговања;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– ставке које се финансирају из других пројеката;</w:t>
      </w:r>
      <w:r>
        <w:rPr>
          <w:color w:val="auto"/>
          <w:sz w:val="22"/>
          <w:szCs w:val="22"/>
        </w:rPr>
        <w:br w:type="textWrapping"/>
      </w:r>
      <w:r>
        <w:rPr>
          <w:color w:val="auto"/>
          <w:sz w:val="22"/>
          <w:szCs w:val="22"/>
        </w:rPr>
        <w:t>- куповина земље или зграда, закуп, комуналне услуге и др. ” режијски трошкови”.</w:t>
      </w:r>
    </w:p>
    <w:p>
      <w:pPr>
        <w:pStyle w:val="7"/>
        <w:shd w:val="clear" w:color="auto" w:fill="auto"/>
        <w:jc w:val="left"/>
        <w:rPr>
          <w:rStyle w:val="9"/>
          <w:color w:val="auto"/>
          <w:sz w:val="22"/>
          <w:szCs w:val="22"/>
        </w:rPr>
      </w:pPr>
      <w:r>
        <w:rPr>
          <w:rStyle w:val="8"/>
          <w:b w:val="0"/>
          <w:color w:val="auto"/>
          <w:sz w:val="22"/>
          <w:szCs w:val="22"/>
        </w:rPr>
        <w:t>Непотпуне пријаве и пријаве које нису на прописаном обрасцу неће бити разматране.</w:t>
      </w:r>
      <w:r>
        <w:rPr>
          <w:rStyle w:val="9"/>
          <w:color w:val="auto"/>
          <w:sz w:val="22"/>
          <w:szCs w:val="22"/>
        </w:rPr>
        <w:t> </w:t>
      </w:r>
    </w:p>
    <w:p>
      <w:pPr>
        <w:spacing w:after="120" w:line="276" w:lineRule="auto"/>
        <w:ind w:firstLine="720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предлагачем пројекта/учесником конкурса, као и предложити корекцију предлога пројекта.</w:t>
      </w:r>
    </w:p>
    <w:p>
      <w:pPr>
        <w:spacing w:after="120" w:line="276" w:lineRule="auto"/>
        <w:ind w:firstLine="720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Чланови комисије појединачно бодују сваки пројекат на основу критеријума.  Просечан број бодова представља коначан број бодова за тај предлог пројекта. Пројекат који је вреднован са мање од 60 бодова и који није подржала већина чланова Комисије неће бити предмет избора за доделу средстава из буџета општине.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FF0000"/>
          <w:sz w:val="22"/>
        </w:rPr>
      </w:pPr>
      <w:r>
        <w:rPr>
          <w:rFonts w:eastAsia="Times New Roman" w:asciiTheme="majorBidi" w:hAnsiTheme="majorBidi" w:cstheme="majorBidi"/>
          <w:sz w:val="22"/>
        </w:rPr>
        <w:t>Комисија, у складу са условима јавног конкурса и критеријумима,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општине, са наведеним износима новчаних средстава, и исти доставља Општинском већу</w:t>
      </w:r>
      <w:r>
        <w:rPr>
          <w:rFonts w:eastAsia="Times New Roman" w:asciiTheme="majorBidi" w:hAnsiTheme="majorBidi" w:cstheme="majorBidi"/>
          <w:color w:val="FF0000"/>
          <w:sz w:val="22"/>
        </w:rPr>
        <w:t xml:space="preserve"> </w:t>
      </w:r>
      <w:r>
        <w:rPr>
          <w:rFonts w:eastAsia="Times New Roman" w:asciiTheme="majorBidi" w:hAnsiTheme="majorBidi" w:cstheme="majorBidi"/>
          <w:sz w:val="22"/>
        </w:rPr>
        <w:t>најкасније 30 дана од дана истека рока за подношење пријаве на јавни конкурс.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Прелиминарна листа из става 5. овог члана објављује се на званичној интернет страници и огласној табли општине</w:t>
      </w:r>
      <w:r>
        <w:rPr>
          <w:rFonts w:eastAsia="Times New Roman" w:asciiTheme="majorBidi" w:hAnsiTheme="majorBidi" w:cstheme="majorBidi"/>
          <w:color w:val="000000"/>
          <w:sz w:val="22"/>
          <w:lang w:val="sr-Cyrl-RS"/>
        </w:rPr>
        <w:t xml:space="preserve"> Рача</w:t>
      </w:r>
      <w:r>
        <w:rPr>
          <w:rFonts w:eastAsia="Times New Roman" w:asciiTheme="majorBidi" w:hAnsiTheme="majorBidi" w:cstheme="majorBidi"/>
          <w:color w:val="000000"/>
          <w:sz w:val="22"/>
        </w:rPr>
        <w:t>, без одлагања по достављању предлога одлуке о избору пројеката који ће се финансирати или суфинансирати из буџета општине Општинском већу.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 става 5. овог члана.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На прелиминарну листу из става 5. овог члана учесници конкурса имају право приговора у року од осам дана од дана њеног објављивања.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 xml:space="preserve">Одлуку о приговору, која мора бити образложена, </w:t>
      </w:r>
      <w:r>
        <w:rPr>
          <w:rFonts w:eastAsia="Times New Roman" w:asciiTheme="majorBidi" w:hAnsiTheme="majorBidi" w:cstheme="majorBidi"/>
          <w:sz w:val="22"/>
        </w:rPr>
        <w:t>Општинско веће</w:t>
      </w:r>
      <w:r>
        <w:rPr>
          <w:rFonts w:eastAsia="Times New Roman" w:asciiTheme="majorBidi" w:hAnsiTheme="majorBidi" w:cstheme="majorBidi"/>
          <w:color w:val="000000"/>
          <w:sz w:val="22"/>
        </w:rPr>
        <w:t xml:space="preserve"> доноси у року од 8 дана од дана истека рока за подношење приговора.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у року од 3 дана од доношења одлуке о приговору и подноси га Општинском већу.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>
      <w:pPr>
        <w:spacing w:after="120" w:line="276" w:lineRule="auto"/>
        <w:rPr>
          <w:rFonts w:eastAsia="Times New Roman" w:asciiTheme="majorBidi" w:hAnsiTheme="majorBidi" w:cstheme="majorBidi"/>
          <w:color w:val="000000"/>
          <w:sz w:val="22"/>
        </w:rPr>
      </w:pPr>
      <w:r>
        <w:rPr>
          <w:rFonts w:eastAsia="Times New Roman" w:asciiTheme="majorBidi" w:hAnsiTheme="majorBidi" w:cstheme="majorBidi"/>
          <w:color w:val="000000"/>
          <w:sz w:val="22"/>
        </w:rPr>
        <w:t>Одлука из става 11. овог члана објављује се на званичној интернет страници и огласној табли општине</w:t>
      </w:r>
      <w:r>
        <w:rPr>
          <w:rFonts w:eastAsia="Times New Roman" w:asciiTheme="majorBidi" w:hAnsiTheme="majorBidi" w:cstheme="majorBidi"/>
          <w:color w:val="000000"/>
          <w:sz w:val="22"/>
          <w:lang w:val="sr-Cyrl-RS"/>
        </w:rPr>
        <w:t xml:space="preserve"> Рача</w:t>
      </w:r>
      <w:r>
        <w:rPr>
          <w:rFonts w:eastAsia="Times New Roman" w:asciiTheme="majorBidi" w:hAnsiTheme="majorBidi" w:cstheme="majorBidi"/>
          <w:color w:val="000000"/>
          <w:sz w:val="22"/>
        </w:rPr>
        <w:t>, без одлагања по њеном доношењу.</w:t>
      </w:r>
    </w:p>
    <w:p>
      <w:pPr>
        <w:spacing w:after="120" w:line="276" w:lineRule="auto"/>
        <w:rPr>
          <w:rFonts w:eastAsia="Times New Roman" w:asciiTheme="majorBidi" w:hAnsiTheme="majorBidi" w:cstheme="majorBidi"/>
          <w:b/>
          <w:sz w:val="22"/>
        </w:rPr>
      </w:pPr>
      <w:r>
        <w:rPr>
          <w:rFonts w:eastAsia="Times New Roman" w:asciiTheme="majorBidi" w:hAnsiTheme="majorBidi" w:cstheme="majorBidi"/>
          <w:b/>
          <w:sz w:val="22"/>
        </w:rPr>
        <w:t>Корисник средстава дужан је да, пре склапања уговора о додели средстава, достави Комисији:</w:t>
      </w:r>
    </w:p>
    <w:p>
      <w:pPr>
        <w:pStyle w:val="10"/>
        <w:numPr>
          <w:ilvl w:val="0"/>
          <w:numId w:val="4"/>
        </w:num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Изјаву да средства за реализацију одобреног пројекта нису на други начин већ обезбеђена;</w:t>
      </w:r>
    </w:p>
    <w:p>
      <w:pPr>
        <w:pStyle w:val="10"/>
        <w:numPr>
          <w:ilvl w:val="0"/>
          <w:numId w:val="4"/>
        </w:num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Изјаву о непостојању сукоба интереса; (Прилог 4)</w:t>
      </w:r>
    </w:p>
    <w:p>
      <w:pPr>
        <w:pStyle w:val="10"/>
        <w:numPr>
          <w:ilvl w:val="0"/>
          <w:numId w:val="4"/>
        </w:num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Ревидирани буџет и ревидирани наративни буџет пројекта у складу са одобреним средствима;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Са корисником средстава неће бити закључен уговор у случају да документацију из става 3. овог члана не достави у року од 7 дана од дана коначности Одлуке о избору пројеката који ће се финансирати из буџета општине Рача.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 xml:space="preserve">Председник општине закључује са корисником средстава уговор о додели средстава из буџета општине најкасније у року од 15 дана од дана коначности </w:t>
      </w:r>
      <w:r>
        <w:rPr>
          <w:rFonts w:eastAsia="Times New Roman" w:asciiTheme="majorBidi" w:hAnsiTheme="majorBidi" w:cstheme="majorBidi"/>
          <w:color w:val="000000"/>
          <w:sz w:val="22"/>
        </w:rPr>
        <w:t>одлуке о избору пројеката који ће се финансирати или суфинансирати из буџета општине.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 xml:space="preserve">Уговором се уређују међусобна права, обавезе и одговорности уговорених страна, и нарочито садржи следеће елементе: Назив одобреног пројекта;Утврђен предмет пројекта;Време реализације пројекта;Висину додељених средстава из буџета општине за реализацију пројекта;Укупну вредност пројекта;Процентуално учешће корисника средстава у укупној вредности пројекта или средстава из других извора, уколико су ова средства обезбеђена;Начин обезбеђења и преноса средстава;Инструменти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пројеката;Начин повраћаја неутрошених средстава;Међусобна права, обавезе и одговорности уговорених страна;Начин праћења реализације пројекта;Обавезе носиоца пројекта у погледу реализације и подношења извештаја о реализацији пројекта;Услове за раскид уговора пре истека времена на који је закључен;Права и обавезе уговорних страна у случају раскида уговора пре истека времена на који је закључен;Начин решавања спорова. Одобрени пројекат, са свим прилозима, саставни је део уговора. </w:t>
      </w:r>
    </w:p>
    <w:p>
      <w:pPr>
        <w:spacing w:after="120" w:line="276" w:lineRule="auto"/>
        <w:ind w:firstLine="720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sz w:val="22"/>
        </w:rPr>
        <w:t>У случају да се носилац пројекта не одазове закључењу уговора у року од</w:t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7 дана</w:t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сматраће се да је одустао од закључења уговора.</w:t>
      </w:r>
    </w:p>
    <w:p>
      <w:pPr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Реализација пројектних активности које подразумевају коришћење финансијских средстава одобрених од стране Општине Рача не може почети пре потписивања уговора.</w:t>
      </w:r>
    </w:p>
    <w:p>
      <w:pPr>
        <w:rPr>
          <w:rFonts w:ascii="Times New Roman" w:hAnsi="Times New Roman" w:cs="Times New Roman"/>
          <w:sz w:val="22"/>
        </w:rPr>
      </w:pPr>
    </w:p>
    <w:p>
      <w:pPr>
        <w:pStyle w:val="10"/>
        <w:numPr>
          <w:ilvl w:val="0"/>
          <w:numId w:val="1"/>
        </w:numPr>
        <w:spacing w:after="120" w:line="276" w:lineRule="auto"/>
        <w:rPr>
          <w:rFonts w:eastAsia="Times New Roman" w:asciiTheme="majorBidi" w:hAnsiTheme="majorBidi" w:cstheme="majorBidi"/>
          <w:b/>
          <w:sz w:val="22"/>
        </w:rPr>
      </w:pPr>
      <w:r>
        <w:rPr>
          <w:rFonts w:eastAsia="Times New Roman" w:asciiTheme="majorBidi" w:hAnsiTheme="majorBidi" w:cstheme="majorBidi"/>
          <w:b/>
          <w:sz w:val="22"/>
        </w:rPr>
        <w:t xml:space="preserve">Обавеза извештавања </w:t>
      </w:r>
    </w:p>
    <w:p>
      <w:pPr>
        <w:spacing w:after="120" w:line="276" w:lineRule="auto"/>
        <w:ind w:firstLine="720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Корисник средстава дужан је да Комисији подноси периодичне и завршне наративне и финансијске извештаје о реализацији пројекта на обрасцу који је саставни део овог Јавног конкурса (Прилог 5), у роковима предвиђеним закљученим уговором.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Завршни наративни и финансијски извештај достављају се најкасније 30 дана по истеку трајања пројекта.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Контролу финансијског извештаја спроводи Одсек за буџет и финансије .</w:t>
      </w:r>
    </w:p>
    <w:p>
      <w:pPr>
        <w:spacing w:after="120" w:line="276" w:lineRule="auto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Контролу наративног извештаја спроводи Комисија.</w:t>
      </w:r>
    </w:p>
    <w:p>
      <w:pPr>
        <w:spacing w:after="120" w:line="276" w:lineRule="auto"/>
        <w:ind w:firstLine="720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Корисник средстава из буџета општине 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општина.</w:t>
      </w:r>
    </w:p>
    <w:p>
      <w:pPr>
        <w:spacing w:after="120" w:line="276" w:lineRule="auto"/>
        <w:ind w:firstLine="360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t>У случају да корисник средстава не поднесе извештаје о реализацији пројекта из става 1. овог члана, губи право учешћа на јавном конкурсу за доделу средстава из буџета општине за подстицање пројеката цркава у наредној години.</w:t>
      </w:r>
    </w:p>
    <w:p>
      <w:pPr>
        <w:pStyle w:val="7"/>
        <w:shd w:val="clear" w:color="auto" w:fill="auto"/>
        <w:ind w:left="0"/>
        <w:rPr>
          <w:rStyle w:val="8"/>
          <w:color w:val="auto"/>
          <w:sz w:val="22"/>
          <w:szCs w:val="22"/>
        </w:rPr>
      </w:pPr>
      <w:r>
        <w:rPr>
          <w:rStyle w:val="8"/>
          <w:color w:val="auto"/>
          <w:sz w:val="22"/>
          <w:szCs w:val="22"/>
        </w:rPr>
        <w:t>11.Место и рок за подношење пријава</w:t>
      </w:r>
    </w:p>
    <w:p>
      <w:pPr>
        <w:pStyle w:val="7"/>
        <w:shd w:val="clear" w:color="auto" w:fill="auto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Пријаве на конкурс подносе се 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Рача.</w:t>
      </w:r>
    </w:p>
    <w:p>
      <w:pPr>
        <w:spacing w:after="120" w:line="276" w:lineRule="auto"/>
        <w:ind w:firstLine="720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 xml:space="preserve">Рок за подношење пријава је 15 дана од дана доношења Одлуке Општинског већа о расписивању јавног конкурса, објављивања на званичном сајту Општине и </w:t>
      </w:r>
      <w:r>
        <w:rPr>
          <w:rFonts w:ascii="Times New Roman" w:hAnsi="Times New Roman" w:cs="Times New Roman"/>
          <w:sz w:val="22"/>
        </w:rPr>
        <w:t>oгласној табли Општинске управе општине Рача</w:t>
      </w:r>
      <w:r>
        <w:rPr>
          <w:rFonts w:ascii="Times New Roman" w:hAnsi="Times New Roman" w:eastAsia="Times New Roman" w:cs="Times New Roman"/>
          <w:sz w:val="22"/>
        </w:rPr>
        <w:t>.</w:t>
      </w:r>
    </w:p>
    <w:p>
      <w:pPr>
        <w:pStyle w:val="7"/>
        <w:numPr>
          <w:ilvl w:val="0"/>
          <w:numId w:val="1"/>
        </w:numPr>
        <w:shd w:val="clear" w:color="auto" w:fill="auto"/>
        <w:rPr>
          <w:color w:val="auto"/>
          <w:sz w:val="22"/>
          <w:szCs w:val="22"/>
          <w:lang w:val="sr-Cyrl-RS"/>
        </w:rPr>
      </w:pPr>
      <w:r>
        <w:rPr>
          <w:rStyle w:val="8"/>
          <w:color w:val="auto"/>
          <w:sz w:val="22"/>
          <w:szCs w:val="22"/>
        </w:rPr>
        <w:t>Одлуку о Јавном конкурсу</w:t>
      </w:r>
      <w:r>
        <w:rPr>
          <w:rStyle w:val="9"/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објавити на званичној интернет страни општине Рача и oгласној табли Општинске управе општине Рача</w:t>
      </w:r>
      <w:r>
        <w:rPr>
          <w:color w:val="auto"/>
          <w:sz w:val="22"/>
          <w:szCs w:val="22"/>
          <w:lang w:val="sr-Cyrl-RS"/>
        </w:rPr>
        <w:t>.</w:t>
      </w:r>
    </w:p>
    <w:p>
      <w:pPr>
        <w:pStyle w:val="7"/>
        <w:shd w:val="clear" w:color="auto" w:fill="auto"/>
        <w:ind w:left="360"/>
        <w:rPr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</w:rPr>
        <w:t xml:space="preserve">       За све додатне информације везане за пријављивање на јавни конкурс заинтересовани се могу обратити </w:t>
      </w:r>
      <w:r>
        <w:rPr>
          <w:color w:val="auto"/>
          <w:sz w:val="22"/>
          <w:szCs w:val="22"/>
          <w:lang w:val="sr-Cyrl-RS"/>
        </w:rPr>
        <w:t xml:space="preserve">на телефон </w:t>
      </w:r>
      <w:r>
        <w:rPr>
          <w:color w:val="auto"/>
          <w:sz w:val="22"/>
          <w:szCs w:val="22"/>
          <w:lang w:val="sr-Latn-RS"/>
        </w:rPr>
        <w:t xml:space="preserve">069/51-55-640 </w:t>
      </w:r>
      <w:r>
        <w:rPr>
          <w:color w:val="auto"/>
          <w:sz w:val="22"/>
          <w:szCs w:val="22"/>
          <w:lang w:val="sr-Cyrl-RS"/>
        </w:rPr>
        <w:t>Марија Мирчетић</w:t>
      </w:r>
    </w:p>
    <w:p>
      <w:pPr>
        <w:pStyle w:val="7"/>
        <w:shd w:val="clear" w:color="auto" w:fill="auto"/>
        <w:ind w:left="0"/>
        <w:rPr>
          <w:rStyle w:val="8"/>
          <w:b w:val="0"/>
          <w:i/>
          <w:color w:val="auto"/>
          <w:sz w:val="22"/>
          <w:szCs w:val="22"/>
        </w:rPr>
      </w:pPr>
    </w:p>
    <w:p>
      <w:pPr>
        <w:pStyle w:val="7"/>
        <w:shd w:val="clear" w:color="auto" w:fill="auto"/>
        <w:ind w:left="0"/>
        <w:rPr>
          <w:rStyle w:val="8"/>
          <w:b w:val="0"/>
          <w:bCs w:val="0"/>
          <w:color w:val="auto"/>
          <w:sz w:val="22"/>
          <w:szCs w:val="22"/>
        </w:rPr>
      </w:pPr>
      <w:r>
        <w:rPr>
          <w:rStyle w:val="8"/>
          <w:b w:val="0"/>
          <w:i/>
          <w:color w:val="auto"/>
          <w:sz w:val="22"/>
          <w:szCs w:val="22"/>
        </w:rPr>
        <w:t>Напомена:</w:t>
      </w:r>
    </w:p>
    <w:p>
      <w:pPr>
        <w:pStyle w:val="7"/>
        <w:shd w:val="clear" w:color="auto" w:fill="auto"/>
        <w:ind w:left="0"/>
        <w:rPr>
          <w:rStyle w:val="8"/>
          <w:b w:val="0"/>
          <w:i/>
          <w:color w:val="auto"/>
          <w:sz w:val="22"/>
          <w:szCs w:val="22"/>
        </w:rPr>
      </w:pPr>
      <w:r>
        <w:rPr>
          <w:rStyle w:val="8"/>
          <w:b w:val="0"/>
          <w:i/>
          <w:color w:val="auto"/>
          <w:sz w:val="22"/>
          <w:szCs w:val="22"/>
        </w:rPr>
        <w:t xml:space="preserve">Одредбом члана 9. и члана 103. Закона о општем управном поступку („Сл.гласникРС“ број 18/2016 </w:t>
      </w:r>
      <w:r>
        <w:rPr>
          <w:rStyle w:val="8"/>
          <w:b w:val="0"/>
          <w:i/>
          <w:color w:val="auto"/>
          <w:sz w:val="22"/>
          <w:szCs w:val="22"/>
          <w:lang w:val="sr-Cyrl-RS"/>
        </w:rPr>
        <w:t>и 95/2018 – аутентично тумачење</w:t>
      </w:r>
      <w:r>
        <w:rPr>
          <w:rStyle w:val="8"/>
          <w:b w:val="0"/>
          <w:i/>
          <w:color w:val="auto"/>
          <w:sz w:val="22"/>
          <w:szCs w:val="22"/>
        </w:rPr>
        <w:t>)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>
      <w:pPr>
        <w:pStyle w:val="7"/>
        <w:shd w:val="clear" w:color="auto" w:fill="auto"/>
        <w:ind w:left="0"/>
        <w:rPr>
          <w:rStyle w:val="8"/>
          <w:b w:val="0"/>
          <w:i/>
          <w:color w:val="auto"/>
          <w:sz w:val="22"/>
          <w:szCs w:val="22"/>
        </w:rPr>
      </w:pPr>
      <w:r>
        <w:rPr>
          <w:rStyle w:val="8"/>
          <w:b w:val="0"/>
          <w:i/>
          <w:color w:val="auto"/>
          <w:sz w:val="22"/>
          <w:szCs w:val="22"/>
        </w:rPr>
        <w:t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учинии самостално. Наведене изјава (Образац 1) се налази у прилогу документације-прилог број 3.</w:t>
      </w:r>
    </w:p>
    <w:p>
      <w:pPr>
        <w:pStyle w:val="7"/>
        <w:shd w:val="clear" w:color="auto" w:fill="auto"/>
        <w:ind w:left="0"/>
        <w:jc w:val="right"/>
        <w:rPr>
          <w:color w:val="auto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lang w:val="sr-Cyrl-CS"/>
        </w:rPr>
      </w:pPr>
      <w:r>
        <w:rPr>
          <w:rFonts w:hint="default" w:ascii="Times New Roman" w:hAnsi="Times New Roman" w:cs="Times New Roman"/>
          <w:b/>
          <w:lang w:val="sr-Cyrl-CS"/>
        </w:rPr>
        <w:t>ОПШТИНСКО ВЕЋЕ ОПШТИНЕ РАЧА</w:t>
      </w:r>
    </w:p>
    <w:p>
      <w:pPr>
        <w:jc w:val="center"/>
        <w:rPr>
          <w:rFonts w:hint="default" w:ascii="Times New Roman" w:hAnsi="Times New Roman" w:cs="Times New Roman"/>
          <w:b/>
          <w:lang w:val="sr-Cyrl-CS"/>
        </w:rPr>
      </w:pPr>
    </w:p>
    <w:p>
      <w:pPr>
        <w:jc w:val="center"/>
        <w:rPr>
          <w:rFonts w:hint="default" w:ascii="Times New Roman" w:hAnsi="Times New Roman" w:cs="Times New Roman"/>
          <w:b/>
          <w:lang w:val="sr-Cyrl-CS"/>
        </w:rPr>
      </w:pPr>
    </w:p>
    <w:p>
      <w:pPr>
        <w:jc w:val="center"/>
        <w:rPr>
          <w:rFonts w:hint="default" w:ascii="Times New Roman" w:hAnsi="Times New Roman" w:cs="Times New Roman"/>
          <w:b/>
          <w:lang w:val="sr-Cyrl-CS"/>
        </w:rPr>
      </w:pPr>
    </w:p>
    <w:p>
      <w:pPr>
        <w:jc w:val="both"/>
        <w:rPr>
          <w:rFonts w:hint="default" w:ascii="Times New Roman" w:hAnsi="Times New Roman" w:cs="Times New Roman"/>
          <w:b/>
          <w:lang w:val="sr-Cyrl-RS"/>
        </w:rPr>
      </w:pPr>
      <w:bookmarkStart w:id="0" w:name="str_4"/>
      <w:bookmarkEnd w:id="0"/>
      <w:r>
        <w:rPr>
          <w:rFonts w:hint="default" w:ascii="Times New Roman" w:hAnsi="Times New Roman" w:cs="Times New Roman"/>
          <w:b/>
          <w:lang w:val="sr-Latn-RS"/>
        </w:rPr>
        <w:t xml:space="preserve">                                            </w:t>
      </w:r>
      <w:r>
        <w:rPr>
          <w:rFonts w:hint="default" w:ascii="Times New Roman" w:hAnsi="Times New Roman" w:cs="Times New Roman"/>
          <w:b/>
          <w:lang w:val="sr-Cyrl-CS"/>
        </w:rPr>
        <w:tab/>
      </w:r>
      <w:r>
        <w:rPr>
          <w:rFonts w:hint="default" w:ascii="Times New Roman" w:hAnsi="Times New Roman" w:cs="Times New Roman"/>
          <w:b/>
          <w:lang w:val="sr-Cyrl-CS"/>
        </w:rPr>
        <w:tab/>
      </w:r>
      <w:r>
        <w:rPr>
          <w:rFonts w:hint="default" w:ascii="Times New Roman" w:hAnsi="Times New Roman" w:cs="Times New Roman"/>
          <w:b/>
          <w:lang w:val="sr-Cyrl-CS"/>
        </w:rPr>
        <w:tab/>
      </w:r>
      <w:r>
        <w:rPr>
          <w:rFonts w:hint="default" w:ascii="Times New Roman" w:hAnsi="Times New Roman" w:cs="Times New Roman"/>
          <w:b/>
          <w:lang w:val="sr-Cyrl-CS"/>
        </w:rPr>
        <w:tab/>
      </w:r>
      <w:r>
        <w:rPr>
          <w:rFonts w:hint="default" w:ascii="Times New Roman" w:hAnsi="Times New Roman" w:cs="Times New Roman"/>
          <w:b/>
          <w:lang w:val="sr-Latn-RS"/>
        </w:rPr>
        <w:t xml:space="preserve">                </w:t>
      </w:r>
      <w:r>
        <w:rPr>
          <w:rFonts w:hint="default" w:ascii="Times New Roman" w:hAnsi="Times New Roman" w:cs="Times New Roman"/>
          <w:b/>
          <w:lang w:val="sr-Cyrl-RS"/>
        </w:rPr>
        <w:t>ЗАМЕНИК ПРЕДСЕДНИКА</w:t>
      </w:r>
    </w:p>
    <w:p>
      <w:pPr>
        <w:jc w:val="both"/>
        <w:rPr>
          <w:rFonts w:hint="default" w:ascii="Times New Roman" w:hAnsi="Times New Roman" w:cs="Times New Roman"/>
          <w:b w:val="0"/>
          <w:bCs/>
          <w:u w:val="single"/>
          <w:lang w:val="sr-Cyrl-RS"/>
        </w:rPr>
      </w:pP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sr-Cyrl-RS"/>
        </w:rPr>
        <w:tab/>
      </w:r>
      <w:r>
        <w:rPr>
          <w:rFonts w:hint="default" w:ascii="Times New Roman" w:hAnsi="Times New Roman" w:cs="Times New Roman"/>
          <w:b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lang w:val="sr-Cyrl-RS"/>
        </w:rPr>
        <w:t xml:space="preserve">     </w:t>
      </w:r>
      <w:bookmarkStart w:id="1" w:name="_GoBack"/>
      <w:bookmarkEnd w:id="1"/>
      <w:r>
        <w:rPr>
          <w:rFonts w:hint="default" w:ascii="Times New Roman" w:hAnsi="Times New Roman" w:cs="Times New Roman"/>
          <w:b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sr-Cyrl-RS"/>
        </w:rPr>
        <w:t>Душан Ђоковић</w:t>
      </w:r>
      <w:r>
        <w:rPr>
          <w:rFonts w:hint="default" w:ascii="Times New Roman" w:hAnsi="Times New Roman" w:cs="Times New Roman"/>
          <w:b w:val="0"/>
          <w:bCs/>
          <w:lang w:val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lang w:val="sr-Cyrl-RS"/>
        </w:rPr>
        <w:t>с.р.</w:t>
      </w:r>
    </w:p>
    <w:p>
      <w:pPr>
        <w:pStyle w:val="7"/>
        <w:shd w:val="clear" w:color="auto" w:fill="auto"/>
        <w:spacing w:before="0" w:after="0"/>
        <w:jc w:val="center"/>
        <w:rPr>
          <w:rFonts w:eastAsia="Calibri"/>
          <w:color w:val="auto"/>
          <w:sz w:val="22"/>
          <w:szCs w:val="22"/>
          <w:lang w:val="sr-Cyrl-CS"/>
        </w:rPr>
      </w:pPr>
    </w:p>
    <w:p>
      <w:pPr>
        <w:pStyle w:val="7"/>
        <w:shd w:val="clear" w:color="auto" w:fill="auto"/>
        <w:spacing w:before="0" w:after="0"/>
        <w:jc w:val="left"/>
        <w:rPr>
          <w:rFonts w:eastAsia="Calibri"/>
          <w:color w:val="auto"/>
          <w:sz w:val="22"/>
          <w:szCs w:val="22"/>
          <w:lang w:val="sr-Cyrl-CS"/>
        </w:rPr>
      </w:pPr>
      <w:r>
        <w:rPr>
          <w:rFonts w:eastAsia="Calibri"/>
          <w:color w:val="auto"/>
          <w:sz w:val="22"/>
          <w:szCs w:val="22"/>
          <w:lang w:val="sr-Cyrl-CS"/>
        </w:rPr>
        <w:t xml:space="preserve">   </w:t>
      </w:r>
    </w:p>
    <w:sectPr>
      <w:footerReference r:id="rId5" w:type="default"/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00223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63E10"/>
    <w:multiLevelType w:val="multilevel"/>
    <w:tmpl w:val="1DE63E10"/>
    <w:lvl w:ilvl="0" w:tentative="0">
      <w:start w:val="0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AA77714"/>
    <w:multiLevelType w:val="multilevel"/>
    <w:tmpl w:val="2AA7771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8C331B0"/>
    <w:multiLevelType w:val="multilevel"/>
    <w:tmpl w:val="48C331B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AF72D68"/>
    <w:multiLevelType w:val="multilevel"/>
    <w:tmpl w:val="7AF72D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B8"/>
    <w:rsid w:val="00037F6A"/>
    <w:rsid w:val="00067AFF"/>
    <w:rsid w:val="000B51C9"/>
    <w:rsid w:val="00104B98"/>
    <w:rsid w:val="00132512"/>
    <w:rsid w:val="001444BF"/>
    <w:rsid w:val="001829B6"/>
    <w:rsid w:val="00185F73"/>
    <w:rsid w:val="001864A3"/>
    <w:rsid w:val="001868F0"/>
    <w:rsid w:val="001A4B88"/>
    <w:rsid w:val="001D684B"/>
    <w:rsid w:val="001E0753"/>
    <w:rsid w:val="001E2004"/>
    <w:rsid w:val="001F66E1"/>
    <w:rsid w:val="00203CAF"/>
    <w:rsid w:val="00220334"/>
    <w:rsid w:val="00220E7D"/>
    <w:rsid w:val="002443A5"/>
    <w:rsid w:val="00266C7F"/>
    <w:rsid w:val="0027009E"/>
    <w:rsid w:val="002743AB"/>
    <w:rsid w:val="00281A8C"/>
    <w:rsid w:val="002835EE"/>
    <w:rsid w:val="002862A1"/>
    <w:rsid w:val="00296412"/>
    <w:rsid w:val="002B78E4"/>
    <w:rsid w:val="002D392E"/>
    <w:rsid w:val="002E2A09"/>
    <w:rsid w:val="002F6239"/>
    <w:rsid w:val="00301AA4"/>
    <w:rsid w:val="00316D3F"/>
    <w:rsid w:val="003412D5"/>
    <w:rsid w:val="00360AA2"/>
    <w:rsid w:val="003829E8"/>
    <w:rsid w:val="00390DF1"/>
    <w:rsid w:val="003955B2"/>
    <w:rsid w:val="003B248B"/>
    <w:rsid w:val="003B3662"/>
    <w:rsid w:val="003F78F2"/>
    <w:rsid w:val="00427318"/>
    <w:rsid w:val="0043433B"/>
    <w:rsid w:val="004557E6"/>
    <w:rsid w:val="004614E0"/>
    <w:rsid w:val="00462C5B"/>
    <w:rsid w:val="0048364F"/>
    <w:rsid w:val="00496D09"/>
    <w:rsid w:val="004A4078"/>
    <w:rsid w:val="004A5BC7"/>
    <w:rsid w:val="004A7F59"/>
    <w:rsid w:val="004B061A"/>
    <w:rsid w:val="004C1E4F"/>
    <w:rsid w:val="004D01C9"/>
    <w:rsid w:val="005113F5"/>
    <w:rsid w:val="005238CD"/>
    <w:rsid w:val="00527EE5"/>
    <w:rsid w:val="005301CC"/>
    <w:rsid w:val="00542580"/>
    <w:rsid w:val="00545ADB"/>
    <w:rsid w:val="00561B7F"/>
    <w:rsid w:val="005739BC"/>
    <w:rsid w:val="00575885"/>
    <w:rsid w:val="005A2956"/>
    <w:rsid w:val="005A46C9"/>
    <w:rsid w:val="005B751D"/>
    <w:rsid w:val="005D741D"/>
    <w:rsid w:val="006204E3"/>
    <w:rsid w:val="00644B3E"/>
    <w:rsid w:val="00647D17"/>
    <w:rsid w:val="00650F44"/>
    <w:rsid w:val="00653AC5"/>
    <w:rsid w:val="006751BE"/>
    <w:rsid w:val="006B7989"/>
    <w:rsid w:val="0071256A"/>
    <w:rsid w:val="007A03AD"/>
    <w:rsid w:val="007B701E"/>
    <w:rsid w:val="007C0187"/>
    <w:rsid w:val="007D0B0C"/>
    <w:rsid w:val="007D6D17"/>
    <w:rsid w:val="007D722A"/>
    <w:rsid w:val="00834CE1"/>
    <w:rsid w:val="00850D04"/>
    <w:rsid w:val="00864959"/>
    <w:rsid w:val="00893CB2"/>
    <w:rsid w:val="008A38F6"/>
    <w:rsid w:val="008C4A62"/>
    <w:rsid w:val="008C77EA"/>
    <w:rsid w:val="008D12BF"/>
    <w:rsid w:val="009124CB"/>
    <w:rsid w:val="00930611"/>
    <w:rsid w:val="00932E87"/>
    <w:rsid w:val="00964E55"/>
    <w:rsid w:val="00984A20"/>
    <w:rsid w:val="009A0C6A"/>
    <w:rsid w:val="009A2931"/>
    <w:rsid w:val="009C4046"/>
    <w:rsid w:val="009D2152"/>
    <w:rsid w:val="009D702A"/>
    <w:rsid w:val="009E2C14"/>
    <w:rsid w:val="009F2944"/>
    <w:rsid w:val="00A35A97"/>
    <w:rsid w:val="00A72897"/>
    <w:rsid w:val="00A73A39"/>
    <w:rsid w:val="00A93118"/>
    <w:rsid w:val="00AB1C38"/>
    <w:rsid w:val="00AF7088"/>
    <w:rsid w:val="00B014D8"/>
    <w:rsid w:val="00B104C2"/>
    <w:rsid w:val="00B36EB3"/>
    <w:rsid w:val="00B41BF7"/>
    <w:rsid w:val="00B502B6"/>
    <w:rsid w:val="00B622EF"/>
    <w:rsid w:val="00B943E5"/>
    <w:rsid w:val="00BB65E3"/>
    <w:rsid w:val="00BF0904"/>
    <w:rsid w:val="00C10275"/>
    <w:rsid w:val="00C200EE"/>
    <w:rsid w:val="00C22FC6"/>
    <w:rsid w:val="00C34F45"/>
    <w:rsid w:val="00C514CB"/>
    <w:rsid w:val="00C70AF6"/>
    <w:rsid w:val="00C73DA8"/>
    <w:rsid w:val="00CB4479"/>
    <w:rsid w:val="00CC1B72"/>
    <w:rsid w:val="00CC6CA7"/>
    <w:rsid w:val="00CC7652"/>
    <w:rsid w:val="00CD4BBD"/>
    <w:rsid w:val="00CE7173"/>
    <w:rsid w:val="00CF6FA1"/>
    <w:rsid w:val="00D10143"/>
    <w:rsid w:val="00D12B72"/>
    <w:rsid w:val="00D14088"/>
    <w:rsid w:val="00D408A7"/>
    <w:rsid w:val="00D54DF7"/>
    <w:rsid w:val="00D5564D"/>
    <w:rsid w:val="00D622DE"/>
    <w:rsid w:val="00D64EB8"/>
    <w:rsid w:val="00D759AB"/>
    <w:rsid w:val="00D769D8"/>
    <w:rsid w:val="00D826D0"/>
    <w:rsid w:val="00D84710"/>
    <w:rsid w:val="00D87E25"/>
    <w:rsid w:val="00DD21D0"/>
    <w:rsid w:val="00E12BFB"/>
    <w:rsid w:val="00E37685"/>
    <w:rsid w:val="00E62879"/>
    <w:rsid w:val="00E65905"/>
    <w:rsid w:val="00E82EE4"/>
    <w:rsid w:val="00E95FA3"/>
    <w:rsid w:val="00E96FD9"/>
    <w:rsid w:val="00EA1D12"/>
    <w:rsid w:val="00EA68F7"/>
    <w:rsid w:val="00EC5E8F"/>
    <w:rsid w:val="00ED79C9"/>
    <w:rsid w:val="00EE2E0A"/>
    <w:rsid w:val="00EE6581"/>
    <w:rsid w:val="00EE7535"/>
    <w:rsid w:val="00F0051D"/>
    <w:rsid w:val="00F03FF2"/>
    <w:rsid w:val="00F2054C"/>
    <w:rsid w:val="00F607CB"/>
    <w:rsid w:val="00F86AE6"/>
    <w:rsid w:val="00F91D17"/>
    <w:rsid w:val="00F957DF"/>
    <w:rsid w:val="00FB081A"/>
    <w:rsid w:val="00FC0EC4"/>
    <w:rsid w:val="00FC4872"/>
    <w:rsid w:val="00FD2CF9"/>
    <w:rsid w:val="00FD69D2"/>
    <w:rsid w:val="00FF558B"/>
    <w:rsid w:val="054E09EB"/>
    <w:rsid w:val="0C6F4AA9"/>
    <w:rsid w:val="535D6779"/>
    <w:rsid w:val="587D4922"/>
    <w:rsid w:val="643D76B7"/>
    <w:rsid w:val="78E1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unhideWhenUsed/>
    <w:qFormat/>
    <w:uiPriority w:val="0"/>
    <w:pPr>
      <w:tabs>
        <w:tab w:val="center" w:pos="4680"/>
        <w:tab w:val="right" w:pos="9360"/>
      </w:tabs>
    </w:pPr>
  </w:style>
  <w:style w:type="paragraph" w:styleId="7">
    <w:name w:val="Normal (Web)"/>
    <w:basedOn w:val="1"/>
    <w:unhideWhenUsed/>
    <w:qFormat/>
    <w:uiPriority w:val="99"/>
    <w:pPr>
      <w:shd w:val="clear" w:color="auto" w:fill="F2F4F9"/>
      <w:spacing w:before="150" w:after="150" w:line="345" w:lineRule="atLeast"/>
      <w:ind w:left="720"/>
    </w:pPr>
    <w:rPr>
      <w:rFonts w:ascii="Times New Roman" w:hAnsi="Times New Roman" w:eastAsia="Times New Roman" w:cs="Times New Roman"/>
      <w:color w:val="3E474C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apple-converted-space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2"/>
    <w:link w:val="6"/>
    <w:qFormat/>
    <w:uiPriority w:val="0"/>
    <w:rPr>
      <w:sz w:val="24"/>
    </w:rPr>
  </w:style>
  <w:style w:type="character" w:customStyle="1" w:styleId="12">
    <w:name w:val="Footer Char"/>
    <w:basedOn w:val="2"/>
    <w:link w:val="5"/>
    <w:qFormat/>
    <w:uiPriority w:val="99"/>
    <w:rPr>
      <w:sz w:val="24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AC76-9759-4F15-A6E2-1675C1858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2094</Words>
  <Characters>11940</Characters>
  <Lines>99</Lines>
  <Paragraphs>28</Paragraphs>
  <TotalTime>6</TotalTime>
  <ScaleCrop>false</ScaleCrop>
  <LinksUpToDate>false</LinksUpToDate>
  <CharactersWithSpaces>14006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2023-05-18T11:51:00Z</dcterms:created>
  <dc:creator>Miladin Milić</dc:creator>
  <cp:lastModifiedBy>sekre</cp:lastModifiedBy>
  <cp:lastPrinted>2023-06-05T06:54:00Z</cp:lastPrinted>
  <dcterms:modified xsi:type="dcterms:W3CDTF">2023-06-05T07:36:32Z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1BD7BB10C55B476EA3FD53368A198500</vt:lpwstr>
  </property>
</Properties>
</file>