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92" w:rsidRPr="00A96B81" w:rsidRDefault="00EB6392" w:rsidP="00A003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6392" w:rsidRDefault="00041C77" w:rsidP="00041C77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C77">
        <w:rPr>
          <w:rFonts w:ascii="Times New Roman" w:hAnsi="Times New Roman" w:cs="Times New Roman"/>
          <w:bCs/>
          <w:sz w:val="24"/>
          <w:szCs w:val="24"/>
        </w:rPr>
        <w:t>На основу члана 46. Закона о локалној самоуправи (Сл. гласник РС број, 129/2007, 83/2014-др. закон, 101/2016 др. закон и 4/2018</w:t>
      </w:r>
      <w:proofErr w:type="gramStart"/>
      <w:r w:rsidRPr="00041C77">
        <w:rPr>
          <w:rFonts w:ascii="Times New Roman" w:hAnsi="Times New Roman" w:cs="Times New Roman"/>
          <w:bCs/>
          <w:sz w:val="24"/>
          <w:szCs w:val="24"/>
        </w:rPr>
        <w:t>) ,</w:t>
      </w:r>
      <w:proofErr w:type="gramEnd"/>
      <w:r w:rsidRPr="00041C77">
        <w:rPr>
          <w:rFonts w:ascii="Times New Roman" w:hAnsi="Times New Roman" w:cs="Times New Roman"/>
          <w:bCs/>
          <w:sz w:val="24"/>
          <w:szCs w:val="24"/>
        </w:rPr>
        <w:t xml:space="preserve"> члана 71. Статута општине Рача ("Сл. гласник општине Рача", број 3/2019), и члана </w:t>
      </w:r>
      <w:r w:rsidRPr="00041C77">
        <w:rPr>
          <w:rFonts w:ascii="Times New Roman" w:hAnsi="Times New Roman" w:cs="Times New Roman"/>
          <w:bCs/>
          <w:sz w:val="24"/>
          <w:szCs w:val="24"/>
          <w:lang w:val="sr-Cyrl-RS"/>
        </w:rPr>
        <w:t>34.</w:t>
      </w:r>
      <w:r w:rsidRPr="00041C77">
        <w:rPr>
          <w:rFonts w:ascii="Times New Roman" w:hAnsi="Times New Roman" w:cs="Times New Roman"/>
          <w:bCs/>
          <w:sz w:val="24"/>
          <w:szCs w:val="24"/>
        </w:rPr>
        <w:t xml:space="preserve"> Пословника о раду Општинског већа ("Сл. гласник општине Рача", број 22/20</w:t>
      </w:r>
      <w:r w:rsidRPr="00041C7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), а у вези са </w:t>
      </w:r>
      <w:r>
        <w:rPr>
          <w:rFonts w:ascii="Times New Roman" w:hAnsi="Times New Roman" w:cs="Times New Roman"/>
          <w:sz w:val="24"/>
          <w:szCs w:val="24"/>
          <w:lang w:val="sr-Cyrl-CS"/>
        </w:rPr>
        <w:t>чланом</w:t>
      </w:r>
      <w:r>
        <w:rPr>
          <w:lang w:val="sr-Cyrl-CS"/>
        </w:rPr>
        <w:t xml:space="preserve"> </w:t>
      </w:r>
      <w:r w:rsidR="00EB6392" w:rsidRPr="00A96B81">
        <w:rPr>
          <w:rFonts w:ascii="Times New Roman" w:hAnsi="Times New Roman" w:cs="Times New Roman"/>
          <w:sz w:val="24"/>
          <w:szCs w:val="24"/>
        </w:rPr>
        <w:t>81.</w:t>
      </w:r>
      <w:r w:rsidR="008E37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37EC">
        <w:rPr>
          <w:rFonts w:ascii="Times New Roman" w:hAnsi="Times New Roman" w:cs="Times New Roman"/>
          <w:sz w:val="24"/>
          <w:szCs w:val="24"/>
        </w:rPr>
        <w:t>става</w:t>
      </w:r>
      <w:proofErr w:type="gramEnd"/>
      <w:r w:rsidR="008E37EC">
        <w:rPr>
          <w:rFonts w:ascii="Times New Roman" w:hAnsi="Times New Roman" w:cs="Times New Roman"/>
          <w:sz w:val="24"/>
          <w:szCs w:val="24"/>
        </w:rPr>
        <w:t xml:space="preserve"> </w:t>
      </w:r>
      <w:r w:rsidR="00EB6392" w:rsidRPr="00A96B8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B81" w:rsidRPr="00A96B81">
        <w:rPr>
          <w:rFonts w:ascii="Times New Roman" w:hAnsi="Times New Roman" w:cs="Times New Roman"/>
          <w:sz w:val="24"/>
          <w:szCs w:val="24"/>
        </w:rPr>
        <w:t>Закона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="00A96B81" w:rsidRPr="00A96B81">
        <w:rPr>
          <w:rFonts w:ascii="Times New Roman" w:hAnsi="Times New Roman" w:cs="Times New Roman"/>
          <w:sz w:val="24"/>
          <w:szCs w:val="24"/>
        </w:rPr>
        <w:t>о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="00D53548">
        <w:rPr>
          <w:rFonts w:ascii="Times New Roman" w:hAnsi="Times New Roman" w:cs="Times New Roman"/>
          <w:sz w:val="24"/>
          <w:szCs w:val="24"/>
        </w:rPr>
        <w:t>бу</w:t>
      </w:r>
      <w:r w:rsidR="00D53548">
        <w:rPr>
          <w:rFonts w:ascii="Times New Roman" w:hAnsi="Times New Roman" w:cs="Times New Roman"/>
          <w:sz w:val="24"/>
          <w:szCs w:val="24"/>
          <w:lang w:val="sr-Cyrl-RS"/>
        </w:rPr>
        <w:t>џ</w:t>
      </w:r>
      <w:r w:rsidR="00A96B81" w:rsidRPr="00A96B81">
        <w:rPr>
          <w:rFonts w:ascii="Times New Roman" w:hAnsi="Times New Roman" w:cs="Times New Roman"/>
          <w:sz w:val="24"/>
          <w:szCs w:val="24"/>
        </w:rPr>
        <w:t>етском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="00A96B81" w:rsidRPr="00A96B81">
        <w:rPr>
          <w:rFonts w:ascii="Times New Roman" w:hAnsi="Times New Roman" w:cs="Times New Roman"/>
          <w:sz w:val="24"/>
          <w:szCs w:val="24"/>
        </w:rPr>
        <w:t>систему</w:t>
      </w:r>
      <w:r w:rsidR="00EC7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EB6392" w:rsidRPr="00A96B81">
        <w:rPr>
          <w:rFonts w:ascii="Times New Roman" w:hAnsi="Times New Roman" w:cs="Times New Roman"/>
          <w:sz w:val="24"/>
          <w:szCs w:val="24"/>
        </w:rPr>
        <w:t>( ,</w:t>
      </w:r>
      <w:proofErr w:type="gramEnd"/>
      <w:r w:rsidR="00EB6392" w:rsidRPr="00A96B81">
        <w:rPr>
          <w:rFonts w:ascii="Times New Roman" w:hAnsi="Times New Roman" w:cs="Times New Roman"/>
          <w:sz w:val="24"/>
          <w:szCs w:val="24"/>
        </w:rPr>
        <w:t xml:space="preserve">, </w:t>
      </w:r>
      <w:r w:rsidR="00A96B81" w:rsidRPr="00A96B81">
        <w:rPr>
          <w:rFonts w:ascii="Times New Roman" w:hAnsi="Times New Roman" w:cs="Times New Roman"/>
          <w:sz w:val="24"/>
          <w:szCs w:val="24"/>
        </w:rPr>
        <w:t>СЛ</w:t>
      </w:r>
      <w:r w:rsidR="00EB6392" w:rsidRPr="00A96B81">
        <w:rPr>
          <w:rFonts w:ascii="Times New Roman" w:hAnsi="Times New Roman" w:cs="Times New Roman"/>
          <w:sz w:val="24"/>
          <w:szCs w:val="24"/>
        </w:rPr>
        <w:t>.</w:t>
      </w:r>
      <w:r w:rsidR="00A96B81" w:rsidRPr="00A96B81">
        <w:rPr>
          <w:rFonts w:ascii="Times New Roman" w:hAnsi="Times New Roman" w:cs="Times New Roman"/>
          <w:sz w:val="24"/>
          <w:szCs w:val="24"/>
        </w:rPr>
        <w:t>Гласник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="00A96B81" w:rsidRPr="00A96B81">
        <w:rPr>
          <w:rFonts w:ascii="Times New Roman" w:hAnsi="Times New Roman" w:cs="Times New Roman"/>
          <w:sz w:val="24"/>
          <w:szCs w:val="24"/>
        </w:rPr>
        <w:t>РС</w:t>
      </w:r>
      <w:r w:rsidR="00EB6392" w:rsidRPr="00A96B81">
        <w:rPr>
          <w:rFonts w:ascii="Times New Roman" w:hAnsi="Times New Roman" w:cs="Times New Roman"/>
          <w:sz w:val="24"/>
          <w:szCs w:val="24"/>
        </w:rPr>
        <w:t>.” Бр.54</w:t>
      </w:r>
      <w:r w:rsidR="00D53548">
        <w:rPr>
          <w:rFonts w:ascii="Times New Roman" w:hAnsi="Times New Roman" w:cs="Times New Roman"/>
          <w:sz w:val="24"/>
          <w:szCs w:val="24"/>
        </w:rPr>
        <w:t>/09, 73/2010, 101/2010, 101/201</w:t>
      </w:r>
      <w:r w:rsidR="00D53548">
        <w:rPr>
          <w:rFonts w:ascii="Times New Roman" w:hAnsi="Times New Roman" w:cs="Times New Roman"/>
          <w:sz w:val="24"/>
          <w:szCs w:val="24"/>
          <w:lang w:val="sr-Cyrl-RS"/>
        </w:rPr>
        <w:t>1, 93/2012, 63/2013, 63-испр. 108/2013, 142/2014, 68/2015-др.закон, 103/</w:t>
      </w:r>
      <w:r w:rsidR="00536249">
        <w:rPr>
          <w:rFonts w:ascii="Times New Roman" w:hAnsi="Times New Roman" w:cs="Times New Roman"/>
          <w:sz w:val="24"/>
          <w:szCs w:val="24"/>
          <w:lang w:val="sr-Cyrl-RS"/>
        </w:rPr>
        <w:t>2015,</w:t>
      </w:r>
      <w:r w:rsidR="00583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249">
        <w:rPr>
          <w:rFonts w:ascii="Times New Roman" w:hAnsi="Times New Roman" w:cs="Times New Roman"/>
          <w:sz w:val="24"/>
          <w:szCs w:val="24"/>
          <w:lang w:val="sr-Cyrl-RS"/>
        </w:rPr>
        <w:t>99/2016, 113/2017, 95/2018, 31/2019, 72/2019, 149/2020 и 118/2021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), 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1" w:rsidRPr="00A96B81">
        <w:rPr>
          <w:rFonts w:ascii="Times New Roman" w:hAnsi="Times New Roman" w:cs="Times New Roman"/>
          <w:color w:val="000000"/>
          <w:sz w:val="24"/>
          <w:szCs w:val="24"/>
        </w:rPr>
        <w:t>Правилника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1" w:rsidRPr="00A96B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1" w:rsidRPr="00A96B81">
        <w:rPr>
          <w:rFonts w:ascii="Times New Roman" w:hAnsi="Times New Roman" w:cs="Times New Roman"/>
          <w:color w:val="000000"/>
          <w:sz w:val="24"/>
          <w:szCs w:val="24"/>
        </w:rPr>
        <w:t>заједничким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1" w:rsidRPr="00A96B81">
        <w:rPr>
          <w:rFonts w:ascii="Times New Roman" w:hAnsi="Times New Roman" w:cs="Times New Roman"/>
          <w:color w:val="000000"/>
          <w:sz w:val="24"/>
          <w:szCs w:val="24"/>
        </w:rPr>
        <w:t>критеријумима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1"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1" w:rsidRPr="00A96B81">
        <w:rPr>
          <w:rFonts w:ascii="Times New Roman" w:hAnsi="Times New Roman" w:cs="Times New Roman"/>
          <w:color w:val="000000"/>
          <w:sz w:val="24"/>
          <w:szCs w:val="24"/>
        </w:rPr>
        <w:t>стандардима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1"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1" w:rsidRPr="00A96B81">
        <w:rPr>
          <w:rFonts w:ascii="Times New Roman" w:hAnsi="Times New Roman" w:cs="Times New Roman"/>
          <w:color w:val="000000"/>
          <w:sz w:val="24"/>
          <w:szCs w:val="24"/>
        </w:rPr>
        <w:t>успостављање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96B81" w:rsidRPr="00A96B81">
        <w:rPr>
          <w:rFonts w:ascii="Times New Roman" w:hAnsi="Times New Roman" w:cs="Times New Roman"/>
          <w:color w:val="000000"/>
          <w:sz w:val="24"/>
          <w:szCs w:val="24"/>
        </w:rPr>
        <w:t>функционисање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1"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1" w:rsidRPr="00A96B81">
        <w:rPr>
          <w:rFonts w:ascii="Times New Roman" w:hAnsi="Times New Roman" w:cs="Times New Roman"/>
          <w:color w:val="000000"/>
          <w:sz w:val="24"/>
          <w:szCs w:val="24"/>
        </w:rPr>
        <w:t>извештавање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1" w:rsidRPr="00A96B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1" w:rsidRPr="00A96B81">
        <w:rPr>
          <w:rFonts w:ascii="Times New Roman" w:hAnsi="Times New Roman" w:cs="Times New Roman"/>
          <w:color w:val="000000"/>
          <w:sz w:val="24"/>
          <w:szCs w:val="24"/>
        </w:rPr>
        <w:t>систему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1" w:rsidRPr="00A96B81">
        <w:rPr>
          <w:rFonts w:ascii="Times New Roman" w:hAnsi="Times New Roman" w:cs="Times New Roman"/>
          <w:color w:val="000000"/>
          <w:sz w:val="24"/>
          <w:szCs w:val="24"/>
        </w:rPr>
        <w:t>финансијског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1"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1"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1" w:rsidRPr="00A96B81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1"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1" w:rsidRPr="00A96B81">
        <w:rPr>
          <w:rFonts w:ascii="Times New Roman" w:hAnsi="Times New Roman" w:cs="Times New Roman"/>
          <w:color w:val="000000"/>
          <w:sz w:val="24"/>
          <w:szCs w:val="24"/>
        </w:rPr>
        <w:t>јавном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1" w:rsidRPr="00A96B81">
        <w:rPr>
          <w:rFonts w:ascii="Times New Roman" w:hAnsi="Times New Roman" w:cs="Times New Roman"/>
          <w:color w:val="000000"/>
          <w:sz w:val="24"/>
          <w:szCs w:val="24"/>
        </w:rPr>
        <w:t>сектору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(,,</w:t>
      </w:r>
      <w:r w:rsidR="00A96B81" w:rsidRPr="00A96B81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1" w:rsidRPr="00A96B81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1" w:rsidRPr="00A96B81">
        <w:rPr>
          <w:rFonts w:ascii="Times New Roman" w:hAnsi="Times New Roman" w:cs="Times New Roman"/>
          <w:color w:val="000000"/>
          <w:sz w:val="24"/>
          <w:szCs w:val="24"/>
        </w:rPr>
        <w:t>РС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”, </w:t>
      </w:r>
      <w:r w:rsidR="00A96B81" w:rsidRPr="00A96B81">
        <w:rPr>
          <w:rFonts w:ascii="Times New Roman" w:hAnsi="Times New Roman" w:cs="Times New Roman"/>
          <w:color w:val="000000"/>
          <w:sz w:val="24"/>
          <w:szCs w:val="24"/>
        </w:rPr>
        <w:t>бр</w:t>
      </w:r>
      <w:r w:rsidR="005362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624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8</w:t>
      </w:r>
      <w:r w:rsidR="00536249">
        <w:rPr>
          <w:rFonts w:ascii="Times New Roman" w:hAnsi="Times New Roman" w:cs="Times New Roman"/>
          <w:color w:val="000000"/>
          <w:sz w:val="24"/>
          <w:szCs w:val="24"/>
        </w:rPr>
        <w:t>9/201</w:t>
      </w:r>
      <w:r w:rsidR="0053624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9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8E37EC" w:rsidRPr="008E37EC">
        <w:rPr>
          <w:lang w:val="sr-Cyrl-CS"/>
        </w:rPr>
        <w:t xml:space="preserve"> </w:t>
      </w:r>
      <w:r w:rsidR="00DE72C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O</w:t>
      </w:r>
      <w:r w:rsidR="003D4F2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пштинско веће општине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4F2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Рача</w:t>
      </w:r>
      <w:r w:rsidR="008B1B3B">
        <w:rPr>
          <w:rFonts w:ascii="Times New Roman" w:hAnsi="Times New Roman" w:cs="Times New Roman"/>
          <w:color w:val="000000"/>
          <w:sz w:val="24"/>
          <w:szCs w:val="24"/>
        </w:rPr>
        <w:t xml:space="preserve">, на седници одржаној дана </w:t>
      </w:r>
      <w:r w:rsidR="008814B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02.03.</w:t>
      </w:r>
      <w:r w:rsidR="008B1B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2022. године, </w:t>
      </w:r>
      <w:r w:rsidR="008B1B3B">
        <w:rPr>
          <w:rFonts w:ascii="Times New Roman" w:hAnsi="Times New Roman" w:cs="Times New Roman"/>
          <w:color w:val="000000"/>
          <w:sz w:val="24"/>
          <w:szCs w:val="24"/>
        </w:rPr>
        <w:t>донело је</w:t>
      </w:r>
      <w:r w:rsidR="008B1B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 w:rsidR="008B1B3B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1722" w:rsidRPr="00A96B81" w:rsidRDefault="00531722" w:rsidP="00041C77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6392" w:rsidRPr="00D954FA" w:rsidRDefault="00A96B81" w:rsidP="00A0030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96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СТРАТЕГИЈУ</w:t>
      </w:r>
      <w:r w:rsidR="00EB6392" w:rsidRPr="00A96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ОПШТИНЕ</w:t>
      </w:r>
      <w:r w:rsidR="00EB6392" w:rsidRPr="00A96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54FA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РАЧА</w:t>
      </w:r>
    </w:p>
    <w:p w:rsidR="00EB6392" w:rsidRPr="00A96B81" w:rsidRDefault="00EB6392" w:rsidP="00A00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392" w:rsidRPr="00A96B81" w:rsidRDefault="00A96B81" w:rsidP="000D6367">
      <w:pPr>
        <w:keepNext/>
        <w:keepLine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УВОД</w:t>
      </w:r>
      <w:proofErr w:type="gramEnd"/>
    </w:p>
    <w:p w:rsidR="00EB6392" w:rsidRPr="00A96B81" w:rsidRDefault="00A96B81" w:rsidP="00A003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="008E37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чланом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81. </w:t>
      </w:r>
      <w:proofErr w:type="gramStart"/>
      <w:r w:rsidRPr="00A96B81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gramEnd"/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6.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буџетском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6B81">
        <w:rPr>
          <w:rFonts w:ascii="Times New Roman" w:hAnsi="Times New Roman" w:cs="Times New Roman"/>
          <w:color w:val="000000"/>
          <w:sz w:val="24"/>
          <w:szCs w:val="24"/>
        </w:rPr>
        <w:t>систему</w:t>
      </w:r>
      <w:r w:rsidR="00D954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морају</w:t>
      </w:r>
      <w:proofErr w:type="gramEnd"/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предузети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964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јавном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сектору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одредбама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подразумева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целокупан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процес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утврђивања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процењивања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праћења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као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4F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предузимања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потребних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сврху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смањења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извршења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наведених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  <w:u w:val="single"/>
        </w:rPr>
        <w:t>Стратегија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  <w:u w:val="single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  <w:u w:val="single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  <w:u w:val="single"/>
        </w:rPr>
        <w:t>општине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964FC3">
        <w:rPr>
          <w:rFonts w:ascii="Times New Roman" w:hAnsi="Times New Roman" w:cs="Times New Roman"/>
          <w:color w:val="000000"/>
          <w:sz w:val="24"/>
          <w:szCs w:val="24"/>
          <w:u w:val="single"/>
          <w:lang w:val="sr-Cyrl-RS"/>
        </w:rPr>
        <w:t>Рача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даље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тексту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Стратегија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B6392" w:rsidRPr="00A96B81" w:rsidRDefault="00A96B81" w:rsidP="00A003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само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законска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обавеза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већ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може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користити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усмеравање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расположивих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ресурса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кључним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подруч</w:t>
      </w:r>
      <w:r w:rsidR="00C66DA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јима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пословања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њима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повезаним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заснована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методологији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АРС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sym w:font="Symbol" w:char="F0D2"/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заснованој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ИСО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ИЕЦ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стандарду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ИСО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31000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свим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нивоима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пружа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механизам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постиже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усмереност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руководства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свим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хијерархијским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нивоима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приоритете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јача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поверење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управљачки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систем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ствара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развој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лидерства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6DA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Рача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A96B81" w:rsidP="00A003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Применом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ове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стратегије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ствара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основа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развој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лидерства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6DA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Рача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уводи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стратешко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планирање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утврђивање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посебних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развој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програмског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планир</w:t>
      </w:r>
      <w:bookmarkStart w:id="0" w:name="_GoBack"/>
      <w:bookmarkEnd w:id="0"/>
      <w:r w:rsidRPr="00A96B81">
        <w:rPr>
          <w:rFonts w:ascii="Times New Roman" w:hAnsi="Times New Roman" w:cs="Times New Roman"/>
          <w:color w:val="000000"/>
          <w:sz w:val="24"/>
          <w:szCs w:val="24"/>
        </w:rPr>
        <w:t>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као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праћење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реализације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програма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помоћу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утврђених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показатеља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успешности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Стога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постаје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нужност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потреба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процесу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планирања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доношења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одлука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али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један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алата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побољшање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ефективности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пословања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свим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нивоима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Применом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овог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стратегијског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омогућује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сагледавање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неповољних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околности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догађаја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чији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настанак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може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неповољно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утицати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остварење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предузимање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мера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сврху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њиховог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ублажавања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прихватљив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ниво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A96B81" w:rsidP="00A003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Сврха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ове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Стратегије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побољшати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способност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остваривања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6DA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Рача 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даље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тексту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кроз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претњама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приликама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као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стварање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окружења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придоноси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већем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нивоу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квалитета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ефективности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свим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активностима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свим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хијерархијским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нивоима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A96B81" w:rsidP="00A003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ове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Стратегије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6392" w:rsidRPr="00A96B81" w:rsidRDefault="00A96B81" w:rsidP="00A003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побољшати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ефективност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A003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интегрисати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климу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културу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A003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уградити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као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стандард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приликом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спровођења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планирања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доношења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одлука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A003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осигурати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оквир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утврђивање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процену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поступање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праћење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извештавање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упознати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разумеју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службеници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свим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хијерархијским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нивоима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A003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успоставити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координацију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A003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осигурати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обухвата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подручја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A003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B81">
        <w:rPr>
          <w:rFonts w:ascii="Times New Roman" w:hAnsi="Times New Roman" w:cs="Times New Roman"/>
          <w:color w:val="000000"/>
          <w:sz w:val="24"/>
          <w:szCs w:val="24"/>
        </w:rPr>
        <w:t>осигурати</w:t>
      </w:r>
      <w:proofErr w:type="gramEnd"/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проводи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законском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регулативом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A96B81" w:rsidP="000D6367">
      <w:pPr>
        <w:keepNext/>
        <w:keepLine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ВРЕДНОСНИ</w:t>
      </w:r>
      <w:proofErr w:type="gramEnd"/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СТАВОВИ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ОПШТИНЕ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ПРЕМА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РИЗИЦИМА</w:t>
      </w:r>
    </w:p>
    <w:p w:rsidR="00EB6392" w:rsidRPr="00A96B81" w:rsidRDefault="00A96B81" w:rsidP="00A003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залаже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постане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саставни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део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организацијске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климе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културе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доношења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одлука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томе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користи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као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алат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спречавање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настанка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ублажавање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последица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неповољних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догађаја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могу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угрозити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остварење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довести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поремећаја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обављању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послова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надлежности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нанети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штету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околини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имовини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службеницима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грађанима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другим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заинтересованим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странама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Стратегија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даје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правац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деловања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управљачке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структуре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укључених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запослених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како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би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ефективно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спроводили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процес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Континуирано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побољшава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пракса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искуствима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јединица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локалне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самоуправе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земаља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чланица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Еуропске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уније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земаља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EB6392" w:rsidP="00A003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6392" w:rsidRPr="00A96B81" w:rsidRDefault="00A96B81" w:rsidP="000D6367">
      <w:pPr>
        <w:keepNext/>
        <w:keepLine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ЦИЉЕВИ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РИЗИЦИМА</w:t>
      </w:r>
    </w:p>
    <w:p w:rsidR="00EB6392" w:rsidRPr="00A96B81" w:rsidRDefault="00A96B81" w:rsidP="00A003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представљају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очекиване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резултате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поједине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организационе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јединице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организације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целини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производ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планирања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неопходни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координисање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организацији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Постављање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помаже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планирању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будућих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утврђивању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приоритета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ефективној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расподели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расположивих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ресурса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праћењу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напретка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односу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постављене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A96B81" w:rsidP="00A003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Како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би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постало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саставни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део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планирања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приликом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израде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свих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планских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докумената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утврђују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стратешки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оперативни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разматрају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могу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утицати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њихову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реализацију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садржани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стратешким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оперативним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финансијским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планским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документима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полазна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основа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утврђивање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општинских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тела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њихових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организационих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јединица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A96B81" w:rsidP="00A003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Осим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везаних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уз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пословање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овом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стратегијом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осигурава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добијање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информација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најзначајнијим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заинтересованих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страна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стејкхолдера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заједнички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спроводе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пројекти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сврху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остварења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постављених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наведене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програме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пројекте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утврђују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најзначајнији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размене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информација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утврђеним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предузетим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мерама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њихово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ублажавање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A96B81" w:rsidP="00A003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нивоу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2FB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Рача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,,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Стратегијом</w:t>
      </w:r>
      <w:proofErr w:type="gramEnd"/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одрживог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развоја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2FB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Рача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“,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утврђени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следећи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6392" w:rsidRPr="00A96B81" w:rsidRDefault="00A96B81" w:rsidP="00DB6C5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1: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Унапређење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економије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sz w:val="24"/>
          <w:szCs w:val="24"/>
        </w:rPr>
        <w:t>предузетништва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образовања</w:t>
      </w:r>
      <w:r w:rsidR="00EB6392" w:rsidRPr="00A96B81">
        <w:rPr>
          <w:rFonts w:ascii="Times New Roman" w:hAnsi="Times New Roman" w:cs="Times New Roman"/>
          <w:sz w:val="24"/>
          <w:szCs w:val="24"/>
        </w:rPr>
        <w:t>,</w:t>
      </w:r>
    </w:p>
    <w:p w:rsidR="00EB6392" w:rsidRPr="00A96B81" w:rsidRDefault="00A96B81" w:rsidP="00DB6C5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2: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Унапређење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инфраструктуре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sz w:val="24"/>
          <w:szCs w:val="24"/>
        </w:rPr>
        <w:t>заштите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животне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средине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институционална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подршка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привлачењу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инвестиција</w:t>
      </w:r>
      <w:r w:rsidR="00EB6392" w:rsidRPr="00A96B81">
        <w:rPr>
          <w:rFonts w:ascii="Times New Roman" w:hAnsi="Times New Roman" w:cs="Times New Roman"/>
          <w:sz w:val="24"/>
          <w:szCs w:val="24"/>
        </w:rPr>
        <w:t>,</w:t>
      </w:r>
    </w:p>
    <w:p w:rsidR="00EB6392" w:rsidRPr="00A96B81" w:rsidRDefault="00A96B81" w:rsidP="00DB6C5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3: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Унапређење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културе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sz w:val="24"/>
          <w:szCs w:val="24"/>
        </w:rPr>
        <w:t>спорта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туризма</w:t>
      </w:r>
      <w:r w:rsidR="00EB6392" w:rsidRPr="00A96B81">
        <w:rPr>
          <w:rFonts w:ascii="Times New Roman" w:hAnsi="Times New Roman" w:cs="Times New Roman"/>
          <w:sz w:val="24"/>
          <w:szCs w:val="24"/>
        </w:rPr>
        <w:t>,</w:t>
      </w:r>
    </w:p>
    <w:p w:rsidR="00EB6392" w:rsidRPr="00A96B81" w:rsidRDefault="00A96B81" w:rsidP="00DB6C5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4: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Унапређење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здравствене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социјалне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заштите</w:t>
      </w:r>
    </w:p>
    <w:p w:rsidR="00EB6392" w:rsidRPr="00A96B81" w:rsidRDefault="00A96B81" w:rsidP="00DB6C5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6B81">
        <w:rPr>
          <w:rFonts w:ascii="Times New Roman" w:hAnsi="Times New Roman" w:cs="Times New Roman"/>
          <w:sz w:val="24"/>
          <w:szCs w:val="24"/>
        </w:rPr>
        <w:t>циљ</w:t>
      </w:r>
      <w:proofErr w:type="gramEnd"/>
      <w:r w:rsidR="00EB6392" w:rsidRPr="00A96B81">
        <w:rPr>
          <w:rFonts w:ascii="Times New Roman" w:hAnsi="Times New Roman" w:cs="Times New Roman"/>
          <w:sz w:val="24"/>
          <w:szCs w:val="24"/>
        </w:rPr>
        <w:t xml:space="preserve"> 5: </w:t>
      </w:r>
      <w:r w:rsidRPr="00A96B81">
        <w:rPr>
          <w:rFonts w:ascii="Times New Roman" w:hAnsi="Times New Roman" w:cs="Times New Roman"/>
          <w:sz w:val="24"/>
          <w:szCs w:val="24"/>
        </w:rPr>
        <w:t>Унапређење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квалитета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локалне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управе</w:t>
      </w:r>
      <w:r w:rsidR="00EB6392" w:rsidRPr="00A96B81">
        <w:rPr>
          <w:rFonts w:ascii="Times New Roman" w:hAnsi="Times New Roman" w:cs="Times New Roman"/>
          <w:sz w:val="24"/>
          <w:szCs w:val="24"/>
        </w:rPr>
        <w:t>.</w:t>
      </w:r>
    </w:p>
    <w:p w:rsidR="00EB6392" w:rsidRPr="00A96B81" w:rsidRDefault="00A96B81" w:rsidP="000D6367">
      <w:pPr>
        <w:keepNext/>
        <w:keepLine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ПРОЦЕС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РИЗИЦИМА</w:t>
      </w:r>
    </w:p>
    <w:p w:rsidR="00EB6392" w:rsidRPr="00A96B81" w:rsidRDefault="00A96B81" w:rsidP="000D6367">
      <w:pPr>
        <w:keepNext/>
        <w:keepLine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Процес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успоставља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обухвата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6392" w:rsidRPr="00A96B81" w:rsidRDefault="00A96B81" w:rsidP="004F435A">
      <w:pPr>
        <w:pStyle w:val="ListParagraph"/>
        <w:keepNext/>
        <w:keepLines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>утврђивање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циљева</w:t>
      </w:r>
      <w:r w:rsidR="00EB6392" w:rsidRPr="00A96B81">
        <w:rPr>
          <w:rFonts w:ascii="Times New Roman" w:hAnsi="Times New Roman" w:cs="Times New Roman"/>
          <w:sz w:val="24"/>
          <w:szCs w:val="24"/>
        </w:rPr>
        <w:t>,</w:t>
      </w:r>
    </w:p>
    <w:p w:rsidR="00EB6392" w:rsidRPr="00A96B81" w:rsidRDefault="00A96B81" w:rsidP="004F435A">
      <w:pPr>
        <w:pStyle w:val="ListParagraph"/>
        <w:keepNext/>
        <w:keepLines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идентификацију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A0030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процену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A0030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реаговање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A0030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праћење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извештавање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p w:rsidR="00EB6392" w:rsidRPr="00A96B81" w:rsidRDefault="00A96B81" w:rsidP="007811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преиспитивање</w:t>
      </w:r>
      <w:proofErr w:type="gramEnd"/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унапређење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погледу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EB6392" w:rsidP="00E911C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B6392" w:rsidRPr="00A96B81" w:rsidRDefault="00A96B81" w:rsidP="007811F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B81">
        <w:rPr>
          <w:rFonts w:ascii="Times New Roman" w:hAnsi="Times New Roman" w:cs="Times New Roman"/>
          <w:b/>
          <w:bCs/>
          <w:sz w:val="24"/>
          <w:szCs w:val="24"/>
        </w:rPr>
        <w:t>Утврђивање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циљева</w:t>
      </w:r>
    </w:p>
    <w:p w:rsidR="00EB6392" w:rsidRPr="00A96B81" w:rsidRDefault="00A96B81" w:rsidP="00DB6C5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Утврђивање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погледу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врше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органи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општинске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верификује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председник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2FB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Рача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сваке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најкасније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истека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календарске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наредну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Основа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утврђивање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листе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предходног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периода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њихово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остваривање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6),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поступка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приказаног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слици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табели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дати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Прилогу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стратегије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C26A6F" w:rsidRDefault="00C26A6F" w:rsidP="00C26A6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б)</w:t>
      </w:r>
      <w:r w:rsidR="008E37E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A96B81" w:rsidRPr="00C26A6F">
        <w:rPr>
          <w:rFonts w:ascii="Times New Roman" w:hAnsi="Times New Roman" w:cs="Times New Roman"/>
          <w:b/>
          <w:bCs/>
          <w:sz w:val="24"/>
          <w:szCs w:val="24"/>
        </w:rPr>
        <w:t>Идентификација</w:t>
      </w:r>
      <w:r w:rsidR="00EB6392" w:rsidRPr="00C26A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B81" w:rsidRPr="00C26A6F">
        <w:rPr>
          <w:rFonts w:ascii="Times New Roman" w:hAnsi="Times New Roman" w:cs="Times New Roman"/>
          <w:b/>
          <w:bCs/>
          <w:sz w:val="24"/>
          <w:szCs w:val="24"/>
        </w:rPr>
        <w:t>ризика</w:t>
      </w:r>
    </w:p>
    <w:p w:rsidR="00EB6392" w:rsidRPr="00A96B81" w:rsidRDefault="00A96B81" w:rsidP="00A003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Идентификација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подразумева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идентификацију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догађаја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одређивање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кључних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могу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неповољно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утицати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остварење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садржаних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планским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документима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Општинска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своје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надлежности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утврђује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обрасцу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утврђивање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процену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исте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евидентирају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регистру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8E37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таб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.2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идентификацију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дати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Прилогу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Именовани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координатори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општинских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тела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воде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ажурирају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регистре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Руководиоци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општинских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тела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пружају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информације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потребне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редовно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вођење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ажурирање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регистара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A96B81" w:rsidP="00A003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Приликом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утврђивања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користи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типологија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којој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подељени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пет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главних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типова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Типови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односе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следећа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подручја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6392" w:rsidRPr="00A96B81" w:rsidRDefault="00A96B81" w:rsidP="00A0030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спољашње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окружење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A0030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планирање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процеси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системи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A0030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запослени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организација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A0030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законитост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исправност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A0030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B81">
        <w:rPr>
          <w:rFonts w:ascii="Times New Roman" w:hAnsi="Times New Roman" w:cs="Times New Roman"/>
          <w:color w:val="000000"/>
          <w:sz w:val="24"/>
          <w:szCs w:val="24"/>
        </w:rPr>
        <w:t>комуникације</w:t>
      </w:r>
      <w:proofErr w:type="gramEnd"/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информације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A96B81" w:rsidP="00A003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Зависно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наведених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подручја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руководиоци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општинских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тела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утврђују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повезане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њихове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надлежности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садржани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планским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документима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Методе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утврђивања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користе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6392" w:rsidRPr="00A96B81" w:rsidRDefault="00A96B81" w:rsidP="00A003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подаци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информације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садржане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извештајима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унутрашње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спољашње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ревизије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као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анализама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руководства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разлозима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одступања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неизвршавања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претходног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периода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A003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упитници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утврђивање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A003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B81">
        <w:rPr>
          <w:rFonts w:ascii="Times New Roman" w:hAnsi="Times New Roman" w:cs="Times New Roman"/>
          <w:color w:val="000000"/>
          <w:sz w:val="24"/>
          <w:szCs w:val="24"/>
        </w:rPr>
        <w:t>радионице</w:t>
      </w:r>
      <w:proofErr w:type="gramEnd"/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општинских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тела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разматрају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односу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постављени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EB6392" w:rsidP="00E911C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B6392" w:rsidRPr="000204A6" w:rsidRDefault="000204A6" w:rsidP="000204A6">
      <w:pPr>
        <w:keepNext/>
        <w:keepLines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в)</w:t>
      </w:r>
      <w:r w:rsidR="008E37E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A96B81" w:rsidRPr="000204A6">
        <w:rPr>
          <w:rFonts w:ascii="Times New Roman" w:hAnsi="Times New Roman" w:cs="Times New Roman"/>
          <w:b/>
          <w:bCs/>
          <w:sz w:val="24"/>
          <w:szCs w:val="24"/>
        </w:rPr>
        <w:t>Процена</w:t>
      </w:r>
      <w:r w:rsidR="00EB6392" w:rsidRPr="00020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B81" w:rsidRPr="000204A6">
        <w:rPr>
          <w:rFonts w:ascii="Times New Roman" w:hAnsi="Times New Roman" w:cs="Times New Roman"/>
          <w:b/>
          <w:bCs/>
          <w:sz w:val="24"/>
          <w:szCs w:val="24"/>
        </w:rPr>
        <w:t>ризика</w:t>
      </w:r>
    </w:p>
    <w:p w:rsidR="00EB6392" w:rsidRPr="00A96B81" w:rsidRDefault="00A96B81" w:rsidP="000D636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подразумева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квалитативну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анализу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утврђених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обзиром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њихов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значај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остварење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постављених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служи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утврђивање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приоритетних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мера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њихово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ублажавање</w:t>
      </w:r>
      <w:r w:rsidR="00A01B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01BD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Приликом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процењује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инхерентна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резидуална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разина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Код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инхерентног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нивоа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процењују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узимајући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обзир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постојеће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мере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ублажавање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разлику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инхерентног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природног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нивоа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код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резидуалног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нивоа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процењује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постојеће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мере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ефективне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потребно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предузети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додатне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радње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ублажавање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A96B81" w:rsidP="00A003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процењују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мере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учинка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вероватноће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настанка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учинка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обухвата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процену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значајности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последице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ако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оствари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вероватноће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процењује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колико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вероватно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неки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правилу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штетан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догађај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оствари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Учинак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вероватноћа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оцењују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бодовима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значајнији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уколико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вероватноћа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настанка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неповољног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догађаја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његов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утицај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остварење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већи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A96B81" w:rsidP="00A003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Укупна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изложеност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добија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множењем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бодова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учинак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бодовима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вероватноћу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Иста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може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бити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ниска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оцена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2),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средња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оцена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4)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висока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оцена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9).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Везано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уз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утврђивање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границе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прихватљивости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код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ниског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нивоа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предузимају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додатне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мере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средњег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нивоа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надзире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њима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провођењем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додатних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мера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Код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високог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нивоа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захтева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тренутно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спровођење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мера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њихово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ублажавање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A96B81" w:rsidP="00E911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основа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утврђивање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начина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поступања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Зависно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значајности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укупне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изложености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предузимају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мере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избегавања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преношења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прихватања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као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смањивања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ублажавања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Наведене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мере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морају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бити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прикладне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трошковно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ефективне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свеобухватне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као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непосредној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вези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значајношћу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Руководиоци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општинских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тела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одлучују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поступању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могу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угрозити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остварења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њихове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надлежности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мерама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поступања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значајним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целокупно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пословање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одлучује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председник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након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њиховог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разматрања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колегијуму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Мере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предузимају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планирају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предузети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сврху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додатног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поступања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уносе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регистре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садрже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рокове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одговорне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особе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њихову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реализацију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EB6392" w:rsidP="00A0030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6392" w:rsidRPr="000204A6" w:rsidRDefault="00944BC0" w:rsidP="000204A6">
      <w:pPr>
        <w:keepNext/>
        <w:keepLines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</w:t>
      </w:r>
      <w:r w:rsidR="000204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  <w:r w:rsidR="008E37E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A96B81" w:rsidRPr="000204A6">
        <w:rPr>
          <w:rFonts w:ascii="Times New Roman" w:hAnsi="Times New Roman" w:cs="Times New Roman"/>
          <w:b/>
          <w:bCs/>
          <w:sz w:val="24"/>
          <w:szCs w:val="24"/>
        </w:rPr>
        <w:t>Реаговање</w:t>
      </w:r>
      <w:r w:rsidR="00EB6392" w:rsidRPr="00020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B81" w:rsidRPr="000204A6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EB6392" w:rsidRPr="00020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B81" w:rsidRPr="000204A6">
        <w:rPr>
          <w:rFonts w:ascii="Times New Roman" w:hAnsi="Times New Roman" w:cs="Times New Roman"/>
          <w:b/>
          <w:bCs/>
          <w:sz w:val="24"/>
          <w:szCs w:val="24"/>
        </w:rPr>
        <w:t>ризик</w:t>
      </w:r>
    </w:p>
    <w:p w:rsidR="00EB6392" w:rsidRPr="00A96B81" w:rsidRDefault="00A96B81" w:rsidP="00A0030E">
      <w:p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Кључни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приоритетно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делује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6618A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представљају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директну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претњу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успешном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завршетку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пројеката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програма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6618A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B81">
        <w:rPr>
          <w:rFonts w:ascii="Times New Roman" w:hAnsi="Times New Roman" w:cs="Times New Roman"/>
          <w:color w:val="000000"/>
          <w:sz w:val="24"/>
          <w:szCs w:val="24"/>
        </w:rPr>
        <w:t>могу</w:t>
      </w:r>
      <w:proofErr w:type="gramEnd"/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узроковати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знатну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штету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стејкхолдерима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грађанима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добављачима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Влади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Европској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унији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др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.);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6618A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чија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последица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повреда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прописа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6618A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чији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ће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настанак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довести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значајних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финансијских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губитака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6618A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доводе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питање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сигурност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запослених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6618A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6B81">
        <w:rPr>
          <w:rFonts w:ascii="Times New Roman" w:hAnsi="Times New Roman" w:cs="Times New Roman"/>
          <w:color w:val="000000"/>
          <w:sz w:val="24"/>
          <w:szCs w:val="24"/>
        </w:rPr>
        <w:t>могу</w:t>
      </w:r>
      <w:proofErr w:type="gramEnd"/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озбиљно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утицати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углед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EB6392" w:rsidP="004817B2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6392" w:rsidRPr="000204A6" w:rsidRDefault="00944BC0" w:rsidP="000204A6">
      <w:pPr>
        <w:keepNext/>
        <w:keepLines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д</w:t>
      </w:r>
      <w:r w:rsidR="000204A6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)</w:t>
      </w:r>
      <w:r w:rsidR="008E37EC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="00A96B81" w:rsidRPr="000204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Праћење</w:t>
      </w:r>
      <w:r w:rsidR="00EB6392" w:rsidRPr="000204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96B81" w:rsidRPr="000204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EB6392" w:rsidRPr="000204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96B81" w:rsidRPr="000204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извештавање</w:t>
      </w:r>
      <w:r w:rsidR="00EB6392" w:rsidRPr="000204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96B81" w:rsidRPr="000204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управљања</w:t>
      </w:r>
      <w:r w:rsidR="00EB6392" w:rsidRPr="000204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96B81" w:rsidRPr="000204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ризиком</w:t>
      </w:r>
      <w:r w:rsidR="00EB6392" w:rsidRPr="000204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B6392" w:rsidRPr="00A96B81" w:rsidRDefault="00EB6392" w:rsidP="004817B2">
      <w:pPr>
        <w:pStyle w:val="ListParagraph"/>
        <w:keepNext/>
        <w:keepLines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6392" w:rsidRPr="00A96B81" w:rsidRDefault="00A96B81" w:rsidP="003325A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Имајући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виду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окружење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којем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послује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непрестано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мења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руководиоци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општинских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тела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руководиоци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општинских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тела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спроводе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редовне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праћења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извештавања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Истима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процењују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ефективности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потреба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увођења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додатних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мера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ублажавања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Складно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томе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годишње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ажурирају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регистри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погледу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нових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спроводе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додатне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мере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ублажавања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прихваћени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као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могло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деловати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планирани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B6392" w:rsidRPr="00944BC0" w:rsidRDefault="00944BC0" w:rsidP="00944BC0">
      <w:pPr>
        <w:keepNext/>
        <w:keepLines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ђ)</w:t>
      </w:r>
      <w:r w:rsidR="008E37E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A96B81" w:rsidRPr="00944BC0">
        <w:rPr>
          <w:rFonts w:ascii="Times New Roman" w:hAnsi="Times New Roman" w:cs="Times New Roman"/>
          <w:b/>
          <w:bCs/>
          <w:sz w:val="24"/>
          <w:szCs w:val="24"/>
        </w:rPr>
        <w:t>Преиспитивање</w:t>
      </w:r>
      <w:r w:rsidR="00EB6392" w:rsidRPr="00944B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B81" w:rsidRPr="00944BC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B6392" w:rsidRPr="00944B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B81" w:rsidRPr="00944BC0">
        <w:rPr>
          <w:rFonts w:ascii="Times New Roman" w:hAnsi="Times New Roman" w:cs="Times New Roman"/>
          <w:b/>
          <w:bCs/>
          <w:sz w:val="24"/>
          <w:szCs w:val="24"/>
        </w:rPr>
        <w:t>унапређење</w:t>
      </w:r>
      <w:r w:rsidR="00EB6392" w:rsidRPr="00944B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B81" w:rsidRPr="00944BC0">
        <w:rPr>
          <w:rFonts w:ascii="Times New Roman" w:hAnsi="Times New Roman" w:cs="Times New Roman"/>
          <w:b/>
          <w:bCs/>
          <w:sz w:val="24"/>
          <w:szCs w:val="24"/>
        </w:rPr>
        <w:t>управљања</w:t>
      </w:r>
      <w:r w:rsidR="00EB6392" w:rsidRPr="00944B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B81" w:rsidRPr="00944BC0">
        <w:rPr>
          <w:rFonts w:ascii="Times New Roman" w:hAnsi="Times New Roman" w:cs="Times New Roman"/>
          <w:b/>
          <w:bCs/>
          <w:sz w:val="24"/>
          <w:szCs w:val="24"/>
        </w:rPr>
        <w:t>ризицима</w:t>
      </w:r>
      <w:r w:rsidR="00EB6392" w:rsidRPr="00944B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6392" w:rsidRPr="00A96B81" w:rsidRDefault="00EB6392" w:rsidP="000D6367">
      <w:pPr>
        <w:pStyle w:val="ListParagraph"/>
        <w:keepNext/>
        <w:keepLines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392" w:rsidRPr="00A96B81" w:rsidRDefault="00A96B81" w:rsidP="000D6367">
      <w:pPr>
        <w:keepNext/>
        <w:keepLine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Зависно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промена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окружењу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ревидирају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постојеће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Такође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годишњем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нивоу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спроводи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Стратегије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како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би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осигурало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њено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ажурирање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праксом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променама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методологије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јавном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сектору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Уколико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потребно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даје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задатак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израде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посебне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стратегије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EB6392" w:rsidP="00A00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392" w:rsidRPr="00A96B81" w:rsidRDefault="00A96B81" w:rsidP="000D63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УЛОГЕ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ОДГОВОРНОСТИ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ПРОЦЕСУ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РИЗИЦИМА</w:t>
      </w:r>
    </w:p>
    <w:p w:rsidR="00EB6392" w:rsidRPr="00A96B81" w:rsidRDefault="00A96B81" w:rsidP="000D636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једна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кључних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одговорности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општинске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управљачке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структуре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председник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одговоран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одређивање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остваривање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увођење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одговарајућих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ефективних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механизама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њихово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смањивање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прихватљиви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ниво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испуњавања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обавеза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произлазе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управљачке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одговорности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председник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ће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осигурати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услове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потребне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несметано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спровођење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свих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као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највиши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ниво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преданости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подршке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Такође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руководиоци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различитим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нивоима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додељеним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овлашћењима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одговорностима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одговорни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испуњавање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оквиру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својих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надлежности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тиме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A96B81" w:rsidP="00A003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Особа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одговорна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координацију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успостављање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сарадњи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руководиоцима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општинских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тела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осигураће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успостављање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нивоу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наведена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особа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следеће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обавезе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B6392" w:rsidRPr="00A96B81" w:rsidRDefault="00A96B81" w:rsidP="00A0030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упознати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руководиоце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општинских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тела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потреби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увођења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6392" w:rsidRPr="00A96B81" w:rsidRDefault="00A96B81" w:rsidP="00A0030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подстицати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климу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културу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A0030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сарадњи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руководиоцима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општинских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тела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покренути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увођењу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одредити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рокове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поједине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B6392" w:rsidRPr="00A96B81" w:rsidRDefault="00A96B81" w:rsidP="00A0030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припремити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обједињене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годишње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извештаје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нивоу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r w:rsidR="000A6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Рача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доставља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Министарству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финансија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оквиру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извештаја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предузетим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активностима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успостављања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развоја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финансијског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A0030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B81">
        <w:rPr>
          <w:rFonts w:ascii="Times New Roman" w:hAnsi="Times New Roman" w:cs="Times New Roman"/>
          <w:color w:val="000000"/>
          <w:sz w:val="24"/>
          <w:szCs w:val="24"/>
        </w:rPr>
        <w:t>омогућити</w:t>
      </w:r>
      <w:proofErr w:type="gramEnd"/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усавршавање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именованих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координатора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општинских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тела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A96B81" w:rsidP="00D21BBB">
      <w:p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Руководиоцима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општинских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тела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сарадњи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руководиоцима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унутрашњих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организационих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јединица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осигураће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успостављање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коришћењем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системског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приступа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тако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6392" w:rsidRPr="00A96B81" w:rsidRDefault="00A96B81" w:rsidP="00D21BB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утврде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везани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уз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циљеве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стратешких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оперативних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финансијских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планова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као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пословних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своје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надлежности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D21BB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вероватноћа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настанка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њихови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учинци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D21BB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утврде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начини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поступања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који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неприхватљиви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D21BB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документују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подаци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регистрима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D21BB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B81">
        <w:rPr>
          <w:rFonts w:ascii="Times New Roman" w:hAnsi="Times New Roman" w:cs="Times New Roman"/>
          <w:color w:val="000000"/>
          <w:sz w:val="24"/>
          <w:szCs w:val="24"/>
        </w:rPr>
        <w:t>осигура</w:t>
      </w:r>
      <w:proofErr w:type="gramEnd"/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праћење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извештавање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D21B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наведеним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руководиоцима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општинских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тела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доносе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формирању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регистра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именовању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координатора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нивоу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Наведене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особе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задужене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прикупљање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утврђеним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њихово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евидентирање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регистре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A96B81" w:rsidP="00D21B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Одељење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координацију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финансијског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контролу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пружа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помоћ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спровођењу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општинским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управним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телима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брине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спровођењу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упутствима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смерницама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Министарства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финансија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прилагођава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методологију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потребама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специфичностима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5A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Рача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прати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спровођење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учествује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припреми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годишњег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извештаја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тако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даје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предлоге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унапређење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сукладно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добром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праксом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јединица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локалне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регионалне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самоуправе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земаља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чланица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Европске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уније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земаља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A96B81" w:rsidP="00D21B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Улога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унутрашње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ревизије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независна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објективна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његове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адекватности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ефективности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Давањем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препорука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побољшање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пословања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унутрашња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ревизија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пружа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подршку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управљачкој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структури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процесу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али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управљачка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структура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одговорна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A96B81" w:rsidP="000D63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КОМУНИКАЦИЈА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ОБУКА</w:t>
      </w:r>
    </w:p>
    <w:p w:rsidR="00EB6392" w:rsidRPr="00A96B81" w:rsidRDefault="00A96B81" w:rsidP="00D21B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Комуникацијом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вези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унутар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5A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Рача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осигураће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информације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потребне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пренос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знања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искуства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општинских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тела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Иста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ће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уз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помоћ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упознавања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укључених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запослених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Стратегијом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одржавање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радионица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утврђивање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процену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размену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знања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искуства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јединицама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локалне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самоуправе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земаља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чланица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Европске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уније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земаља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допринети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континуираном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побољшању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целокупном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побољшању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пословања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5A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Рача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A96B81" w:rsidP="000D63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КЉУЧНИ</w:t>
      </w:r>
      <w:proofErr w:type="gramEnd"/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ПОКАЗАТЕЉИ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УСПЕШНОСТИ</w:t>
      </w:r>
    </w:p>
    <w:p w:rsidR="00EB6392" w:rsidRPr="00A96B81" w:rsidRDefault="00A96B81" w:rsidP="00D877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Ефективност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прати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нивоу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општинских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тела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помоћу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кључних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показатеља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ефективности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Исти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односе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израду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годишње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ажурирање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регистара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општинских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тела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као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проценат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спроведених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додатних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мера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ублажавање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Такође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ефективност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спровођења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процеса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треба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омогући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смањење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броја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препорука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унутрашње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спољашње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ревизије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392" w:rsidRPr="00A96B81" w:rsidRDefault="00EB6392" w:rsidP="007161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392" w:rsidRPr="00A96B81" w:rsidRDefault="00A96B81" w:rsidP="0071615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ДОДАЦИ</w:t>
      </w:r>
      <w:r w:rsidR="00EB6392" w:rsidRPr="00A96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</w:t>
      </w:r>
      <w:r w:rsidR="00EB6392" w:rsidRPr="00A96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СТРАТЕГИЈУ</w:t>
      </w:r>
      <w:r w:rsidR="00EB6392" w:rsidRPr="00A96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РИЗИЦИМА</w:t>
      </w:r>
    </w:p>
    <w:p w:rsidR="00EB6392" w:rsidRPr="00A96B81" w:rsidRDefault="00A96B81" w:rsidP="0071615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Образац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утврђивање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процену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Прилог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5);</w:t>
      </w:r>
    </w:p>
    <w:p w:rsidR="00EB6392" w:rsidRPr="00A96B81" w:rsidRDefault="00A96B81" w:rsidP="0071615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color w:val="000000"/>
          <w:sz w:val="24"/>
          <w:szCs w:val="24"/>
        </w:rPr>
        <w:t>Регистар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96B81">
        <w:rPr>
          <w:rFonts w:ascii="Times New Roman" w:hAnsi="Times New Roman" w:cs="Times New Roman"/>
          <w:color w:val="000000"/>
          <w:sz w:val="24"/>
          <w:szCs w:val="24"/>
        </w:rPr>
        <w:t>Прилог</w:t>
      </w:r>
      <w:r w:rsidR="00EB6392" w:rsidRPr="00A96B81">
        <w:rPr>
          <w:rFonts w:ascii="Times New Roman" w:hAnsi="Times New Roman" w:cs="Times New Roman"/>
          <w:color w:val="000000"/>
          <w:sz w:val="24"/>
          <w:szCs w:val="24"/>
        </w:rPr>
        <w:t xml:space="preserve"> 6).</w:t>
      </w:r>
    </w:p>
    <w:p w:rsidR="00EB6392" w:rsidRPr="00A96B81" w:rsidRDefault="00EB6392" w:rsidP="007161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392" w:rsidRPr="00BE7F23" w:rsidRDefault="00A96B81" w:rsidP="00D877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Ова</w:t>
      </w:r>
      <w:proofErr w:type="gramEnd"/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ће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стратегија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бити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објављена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3F5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Службеном гласнику општине Рача и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сајту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b/>
          <w:bCs/>
          <w:sz w:val="24"/>
          <w:szCs w:val="24"/>
        </w:rPr>
        <w:t>општине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AD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Рача</w:t>
      </w:r>
      <w:r w:rsidR="00EB6392" w:rsidRPr="00A96B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80"/>
        <w:gridCol w:w="4680"/>
      </w:tblGrid>
      <w:tr w:rsidR="00EB6392" w:rsidRPr="00A96B81">
        <w:trPr>
          <w:trHeight w:val="716"/>
        </w:trPr>
        <w:tc>
          <w:tcPr>
            <w:tcW w:w="4788" w:type="dxa"/>
          </w:tcPr>
          <w:p w:rsidR="00EB6392" w:rsidRPr="00A96B81" w:rsidRDefault="00EB6392" w:rsidP="005F34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535B51" w:rsidRPr="00A96B81" w:rsidRDefault="00535B51" w:rsidP="00BE7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5B51" w:rsidRDefault="00535B51" w:rsidP="00B20346">
      <w:pPr>
        <w:rPr>
          <w:rFonts w:ascii="Times New Roman" w:hAnsi="Times New Roman" w:cs="Times New Roman"/>
          <w:noProof/>
          <w:sz w:val="24"/>
          <w:szCs w:val="24"/>
        </w:rPr>
      </w:pPr>
    </w:p>
    <w:p w:rsidR="00EB6392" w:rsidRPr="00495ADE" w:rsidRDefault="00A96B81" w:rsidP="00B20346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96B81">
        <w:rPr>
          <w:rFonts w:ascii="Times New Roman" w:hAnsi="Times New Roman" w:cs="Times New Roman"/>
          <w:noProof/>
          <w:sz w:val="24"/>
          <w:szCs w:val="24"/>
        </w:rPr>
        <w:t>Прилог</w:t>
      </w:r>
      <w:r w:rsidR="00EB6392" w:rsidRPr="00A96B81">
        <w:rPr>
          <w:rFonts w:ascii="Times New Roman" w:hAnsi="Times New Roman" w:cs="Times New Roman"/>
          <w:noProof/>
          <w:sz w:val="24"/>
          <w:szCs w:val="24"/>
        </w:rPr>
        <w:t xml:space="preserve"> 1: </w:t>
      </w:r>
      <w:r w:rsidRPr="00A96B81">
        <w:rPr>
          <w:rFonts w:ascii="Times New Roman" w:hAnsi="Times New Roman" w:cs="Times New Roman"/>
          <w:noProof/>
          <w:sz w:val="24"/>
          <w:szCs w:val="24"/>
        </w:rPr>
        <w:t>Ток</w:t>
      </w:r>
      <w:r w:rsidR="00EB6392" w:rsidRPr="00A96B8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noProof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noProof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noProof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noProof/>
          <w:sz w:val="24"/>
          <w:szCs w:val="24"/>
        </w:rPr>
        <w:t>општини</w:t>
      </w:r>
      <w:r w:rsidR="00EB6392" w:rsidRPr="00A96B8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95ADE">
        <w:rPr>
          <w:rFonts w:ascii="Times New Roman" w:hAnsi="Times New Roman" w:cs="Times New Roman"/>
          <w:noProof/>
          <w:sz w:val="24"/>
          <w:szCs w:val="24"/>
          <w:lang w:val="sr-Cyrl-RS"/>
        </w:rPr>
        <w:t>Рача</w:t>
      </w:r>
    </w:p>
    <w:p w:rsidR="00EB6392" w:rsidRPr="00A96B81" w:rsidRDefault="00306A09" w:rsidP="00671C9E">
      <w:pPr>
        <w:jc w:val="center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lastRenderedPageBreak/>
        <w:drawing>
          <wp:inline distT="0" distB="0" distL="0" distR="0">
            <wp:extent cx="3227705" cy="68795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687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392" w:rsidRPr="00495ADE" w:rsidRDefault="00A96B81" w:rsidP="00671C9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96B81">
        <w:rPr>
          <w:rFonts w:ascii="Times New Roman" w:hAnsi="Times New Roman" w:cs="Times New Roman"/>
          <w:sz w:val="24"/>
          <w:szCs w:val="24"/>
        </w:rPr>
        <w:t>Сл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. 1 </w:t>
      </w:r>
      <w:r w:rsidRPr="00A96B81">
        <w:rPr>
          <w:rFonts w:ascii="Times New Roman" w:hAnsi="Times New Roman" w:cs="Times New Roman"/>
          <w:sz w:val="24"/>
          <w:szCs w:val="24"/>
        </w:rPr>
        <w:t>Процес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управљања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општини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="00495ADE">
        <w:rPr>
          <w:rFonts w:ascii="Times New Roman" w:hAnsi="Times New Roman" w:cs="Times New Roman"/>
          <w:sz w:val="24"/>
          <w:szCs w:val="24"/>
          <w:lang w:val="sr-Cyrl-RS"/>
        </w:rPr>
        <w:t>Рача</w:t>
      </w:r>
    </w:p>
    <w:p w:rsidR="00EB6392" w:rsidRPr="00A96B81" w:rsidRDefault="00EB6392" w:rsidP="00671C9E">
      <w:p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br w:type="page"/>
      </w:r>
    </w:p>
    <w:p w:rsidR="00EB6392" w:rsidRPr="00A96B81" w:rsidRDefault="00A96B81" w:rsidP="00671C9E">
      <w:p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lastRenderedPageBreak/>
        <w:t>Прилог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2: </w:t>
      </w:r>
      <w:r w:rsidRPr="00A96B81">
        <w:rPr>
          <w:rFonts w:ascii="Times New Roman" w:hAnsi="Times New Roman" w:cs="Times New Roman"/>
          <w:sz w:val="24"/>
          <w:szCs w:val="24"/>
        </w:rPr>
        <w:t>Утврђивање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циљева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(</w:t>
      </w:r>
      <w:r w:rsidRPr="00A96B81">
        <w:rPr>
          <w:rFonts w:ascii="Times New Roman" w:hAnsi="Times New Roman" w:cs="Times New Roman"/>
          <w:sz w:val="24"/>
          <w:szCs w:val="24"/>
        </w:rPr>
        <w:t>Процес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П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1: </w:t>
      </w:r>
      <w:r w:rsidRPr="00A96B81">
        <w:rPr>
          <w:rFonts w:ascii="Times New Roman" w:hAnsi="Times New Roman" w:cs="Times New Roman"/>
          <w:sz w:val="24"/>
          <w:szCs w:val="24"/>
        </w:rPr>
        <w:t>Процес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утврђивања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циљева</w:t>
      </w:r>
      <w:r w:rsidR="00EB6392" w:rsidRPr="00A96B81">
        <w:rPr>
          <w:rFonts w:ascii="Times New Roman" w:hAnsi="Times New Roman" w:cs="Times New Roman"/>
          <w:sz w:val="24"/>
          <w:szCs w:val="24"/>
        </w:rPr>
        <w:t>)</w:t>
      </w:r>
    </w:p>
    <w:p w:rsidR="00EB6392" w:rsidRPr="00A96B81" w:rsidRDefault="00EB6392" w:rsidP="00671C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1"/>
        <w:gridCol w:w="499"/>
        <w:gridCol w:w="878"/>
        <w:gridCol w:w="547"/>
        <w:gridCol w:w="498"/>
        <w:gridCol w:w="600"/>
        <w:gridCol w:w="531"/>
        <w:gridCol w:w="801"/>
        <w:gridCol w:w="425"/>
        <w:gridCol w:w="567"/>
      </w:tblGrid>
      <w:tr w:rsidR="00EB6392" w:rsidRPr="00A96B81" w:rsidTr="00253F75">
        <w:trPr>
          <w:trHeight w:val="338"/>
        </w:trPr>
        <w:tc>
          <w:tcPr>
            <w:tcW w:w="3301" w:type="dxa"/>
            <w:tcBorders>
              <w:top w:val="nil"/>
              <w:left w:val="nil"/>
              <w:bottom w:val="nil"/>
            </w:tcBorders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9"/>
            <w:vAlign w:val="center"/>
          </w:tcPr>
          <w:p w:rsidR="00EB6392" w:rsidRPr="00A96B81" w:rsidRDefault="00A96B81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>Ризици</w:t>
            </w:r>
          </w:p>
        </w:tc>
      </w:tr>
      <w:tr w:rsidR="00EB6392" w:rsidRPr="00A96B81" w:rsidTr="00253F75">
        <w:trPr>
          <w:trHeight w:val="338"/>
        </w:trPr>
        <w:tc>
          <w:tcPr>
            <w:tcW w:w="3301" w:type="dxa"/>
            <w:tcBorders>
              <w:top w:val="nil"/>
              <w:left w:val="nil"/>
              <w:bottom w:val="nil"/>
            </w:tcBorders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4"/>
            <w:vAlign w:val="center"/>
          </w:tcPr>
          <w:p w:rsidR="00EB6392" w:rsidRPr="00A96B81" w:rsidRDefault="00A96B81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>Спољашњи</w:t>
            </w:r>
          </w:p>
        </w:tc>
        <w:tc>
          <w:tcPr>
            <w:tcW w:w="2924" w:type="dxa"/>
            <w:gridSpan w:val="5"/>
            <w:vAlign w:val="center"/>
          </w:tcPr>
          <w:p w:rsidR="00EB6392" w:rsidRPr="00A96B81" w:rsidRDefault="00A96B81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>Унутрашњи</w:t>
            </w:r>
          </w:p>
        </w:tc>
      </w:tr>
      <w:tr w:rsidR="00EB6392" w:rsidRPr="00A96B81" w:rsidTr="00253F75">
        <w:trPr>
          <w:trHeight w:val="2148"/>
        </w:trPr>
        <w:tc>
          <w:tcPr>
            <w:tcW w:w="3301" w:type="dxa"/>
            <w:tcBorders>
              <w:top w:val="nil"/>
              <w:left w:val="nil"/>
            </w:tcBorders>
          </w:tcPr>
          <w:p w:rsidR="00EB6392" w:rsidRPr="00A96B81" w:rsidRDefault="00EB6392" w:rsidP="005F3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extDirection w:val="btLr"/>
            <w:vAlign w:val="center"/>
          </w:tcPr>
          <w:p w:rsidR="00EB6392" w:rsidRPr="00A96B81" w:rsidRDefault="00A96B81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>политички</w:t>
            </w:r>
          </w:p>
        </w:tc>
        <w:tc>
          <w:tcPr>
            <w:tcW w:w="878" w:type="dxa"/>
            <w:textDirection w:val="btLr"/>
            <w:vAlign w:val="center"/>
          </w:tcPr>
          <w:p w:rsidR="00EB6392" w:rsidRPr="00A96B81" w:rsidRDefault="00A96B81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>буџетско</w:t>
            </w:r>
            <w:r w:rsidR="00EB6392" w:rsidRPr="00A9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>финансијски</w:t>
            </w:r>
          </w:p>
        </w:tc>
        <w:tc>
          <w:tcPr>
            <w:tcW w:w="547" w:type="dxa"/>
            <w:textDirection w:val="btLr"/>
            <w:vAlign w:val="center"/>
          </w:tcPr>
          <w:p w:rsidR="00EB6392" w:rsidRPr="00A96B81" w:rsidRDefault="00A96B81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>законодавни</w:t>
            </w:r>
          </w:p>
        </w:tc>
        <w:tc>
          <w:tcPr>
            <w:tcW w:w="498" w:type="dxa"/>
            <w:textDirection w:val="btLr"/>
            <w:vAlign w:val="center"/>
          </w:tcPr>
          <w:p w:rsidR="00EB6392" w:rsidRPr="00A96B81" w:rsidRDefault="00A96B81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>остали</w:t>
            </w:r>
            <w:r w:rsidR="00EB6392"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>посебни</w:t>
            </w:r>
            <w:r w:rsidR="00EB6392" w:rsidRPr="00A96B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" w:type="dxa"/>
            <w:textDirection w:val="btLr"/>
            <w:vAlign w:val="center"/>
          </w:tcPr>
          <w:p w:rsidR="00EB6392" w:rsidRPr="00A96B81" w:rsidRDefault="00A96B81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>поштовање</w:t>
            </w:r>
            <w:r w:rsidR="00EB6392"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>рокова</w:t>
            </w:r>
          </w:p>
        </w:tc>
        <w:tc>
          <w:tcPr>
            <w:tcW w:w="531" w:type="dxa"/>
            <w:textDirection w:val="btLr"/>
            <w:vAlign w:val="center"/>
          </w:tcPr>
          <w:p w:rsidR="00EB6392" w:rsidRPr="00A96B81" w:rsidRDefault="00A96B81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>квалитет</w:t>
            </w:r>
            <w:r w:rsidR="00EB6392"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>јавних</w:t>
            </w:r>
            <w:r w:rsidR="00EB6392"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801" w:type="dxa"/>
            <w:textDirection w:val="btLr"/>
            <w:vAlign w:val="center"/>
          </w:tcPr>
          <w:p w:rsidR="00EB6392" w:rsidRPr="00A96B81" w:rsidRDefault="00A96B81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>информациона</w:t>
            </w:r>
            <w:r w:rsidR="00EB6392"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>сигурност</w:t>
            </w:r>
          </w:p>
        </w:tc>
        <w:tc>
          <w:tcPr>
            <w:tcW w:w="425" w:type="dxa"/>
            <w:textDirection w:val="btLr"/>
            <w:vAlign w:val="center"/>
          </w:tcPr>
          <w:p w:rsidR="00EB6392" w:rsidRPr="00A96B81" w:rsidRDefault="00A96B81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>општи</w:t>
            </w:r>
          </w:p>
        </w:tc>
        <w:tc>
          <w:tcPr>
            <w:tcW w:w="567" w:type="dxa"/>
            <w:textDirection w:val="btLr"/>
            <w:vAlign w:val="center"/>
          </w:tcPr>
          <w:p w:rsidR="00EB6392" w:rsidRPr="00A96B81" w:rsidRDefault="00A96B81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>остали</w:t>
            </w:r>
          </w:p>
        </w:tc>
      </w:tr>
      <w:tr w:rsidR="00EB6392" w:rsidRPr="00A96B81" w:rsidTr="00253F75">
        <w:trPr>
          <w:trHeight w:val="259"/>
        </w:trPr>
        <w:tc>
          <w:tcPr>
            <w:tcW w:w="3301" w:type="dxa"/>
          </w:tcPr>
          <w:p w:rsidR="00EB6392" w:rsidRPr="00A96B81" w:rsidRDefault="00A96B81" w:rsidP="005F34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>Стратешки</w:t>
            </w:r>
            <w:r w:rsidR="00EB6392"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>циљеви</w:t>
            </w:r>
            <w:r w:rsidR="00EB6392"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99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92" w:rsidRPr="00A96B81" w:rsidTr="00253F75">
        <w:trPr>
          <w:trHeight w:val="255"/>
        </w:trPr>
        <w:tc>
          <w:tcPr>
            <w:tcW w:w="3301" w:type="dxa"/>
          </w:tcPr>
          <w:p w:rsidR="00EB6392" w:rsidRPr="00A96B81" w:rsidRDefault="00EB6392" w:rsidP="005F34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92" w:rsidRPr="00A96B81" w:rsidTr="00253F75">
        <w:trPr>
          <w:trHeight w:val="255"/>
        </w:trPr>
        <w:tc>
          <w:tcPr>
            <w:tcW w:w="3301" w:type="dxa"/>
          </w:tcPr>
          <w:p w:rsidR="00EB6392" w:rsidRPr="00A96B81" w:rsidRDefault="00EB6392" w:rsidP="005F34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9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92" w:rsidRPr="00A96B81" w:rsidTr="00253F75">
        <w:trPr>
          <w:trHeight w:val="255"/>
        </w:trPr>
        <w:tc>
          <w:tcPr>
            <w:tcW w:w="3301" w:type="dxa"/>
          </w:tcPr>
          <w:p w:rsidR="00EB6392" w:rsidRPr="00A96B81" w:rsidRDefault="00EB6392" w:rsidP="005F34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9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92" w:rsidRPr="00A96B81" w:rsidTr="00253F75">
        <w:trPr>
          <w:trHeight w:val="255"/>
        </w:trPr>
        <w:tc>
          <w:tcPr>
            <w:tcW w:w="3301" w:type="dxa"/>
          </w:tcPr>
          <w:p w:rsidR="00EB6392" w:rsidRPr="00A96B81" w:rsidRDefault="00EB6392" w:rsidP="005F34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9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92" w:rsidRPr="00A96B81" w:rsidTr="00253F75">
        <w:trPr>
          <w:trHeight w:val="255"/>
        </w:trPr>
        <w:tc>
          <w:tcPr>
            <w:tcW w:w="3301" w:type="dxa"/>
          </w:tcPr>
          <w:p w:rsidR="00EB6392" w:rsidRPr="00A96B81" w:rsidRDefault="00EB6392" w:rsidP="005F3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9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B6392" w:rsidRPr="00A96B81" w:rsidRDefault="00EB6392" w:rsidP="005F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92" w:rsidRPr="00A96B81" w:rsidTr="00253F75">
        <w:trPr>
          <w:trHeight w:val="267"/>
        </w:trPr>
        <w:tc>
          <w:tcPr>
            <w:tcW w:w="3301" w:type="dxa"/>
          </w:tcPr>
          <w:p w:rsidR="00EB6392" w:rsidRPr="00A96B81" w:rsidRDefault="00A96B81" w:rsidP="005F34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>Тактички</w:t>
            </w:r>
            <w:r w:rsidR="00EB6392"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>циљеви</w:t>
            </w:r>
            <w:r w:rsidR="00EB6392"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99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92" w:rsidRPr="00A96B81" w:rsidTr="00253F75">
        <w:trPr>
          <w:trHeight w:val="262"/>
        </w:trPr>
        <w:tc>
          <w:tcPr>
            <w:tcW w:w="3301" w:type="dxa"/>
          </w:tcPr>
          <w:p w:rsidR="00EB6392" w:rsidRPr="00A96B81" w:rsidRDefault="00EB6392" w:rsidP="005F34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92" w:rsidRPr="00A96B81" w:rsidTr="00253F75">
        <w:trPr>
          <w:trHeight w:val="262"/>
        </w:trPr>
        <w:tc>
          <w:tcPr>
            <w:tcW w:w="3301" w:type="dxa"/>
          </w:tcPr>
          <w:p w:rsidR="00EB6392" w:rsidRPr="00A96B81" w:rsidRDefault="00EB6392" w:rsidP="005F34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9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92" w:rsidRPr="00A96B81" w:rsidTr="00253F75">
        <w:trPr>
          <w:trHeight w:val="262"/>
        </w:trPr>
        <w:tc>
          <w:tcPr>
            <w:tcW w:w="3301" w:type="dxa"/>
          </w:tcPr>
          <w:p w:rsidR="00EB6392" w:rsidRPr="00A96B81" w:rsidRDefault="00EB6392" w:rsidP="005F34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9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92" w:rsidRPr="00A96B81" w:rsidTr="00253F75">
        <w:trPr>
          <w:trHeight w:val="262"/>
        </w:trPr>
        <w:tc>
          <w:tcPr>
            <w:tcW w:w="3301" w:type="dxa"/>
          </w:tcPr>
          <w:p w:rsidR="00EB6392" w:rsidRPr="00A96B81" w:rsidRDefault="00EB6392" w:rsidP="005F34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9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92" w:rsidRPr="00A96B81" w:rsidTr="00253F75">
        <w:trPr>
          <w:trHeight w:val="262"/>
        </w:trPr>
        <w:tc>
          <w:tcPr>
            <w:tcW w:w="3301" w:type="dxa"/>
          </w:tcPr>
          <w:p w:rsidR="00EB6392" w:rsidRPr="00A96B81" w:rsidRDefault="00EB6392" w:rsidP="005F34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92" w:rsidRPr="00A96B81" w:rsidTr="00253F75">
        <w:trPr>
          <w:trHeight w:val="199"/>
        </w:trPr>
        <w:tc>
          <w:tcPr>
            <w:tcW w:w="3301" w:type="dxa"/>
          </w:tcPr>
          <w:p w:rsidR="00EB6392" w:rsidRPr="00A96B81" w:rsidRDefault="00A96B81" w:rsidP="005F34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>Оперативни</w:t>
            </w:r>
            <w:r w:rsidR="00EB6392"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>циљеви</w:t>
            </w:r>
            <w:r w:rsidR="00EB6392" w:rsidRPr="00A96B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92" w:rsidRPr="00A96B81" w:rsidTr="00253F75">
        <w:trPr>
          <w:trHeight w:val="191"/>
        </w:trPr>
        <w:tc>
          <w:tcPr>
            <w:tcW w:w="3301" w:type="dxa"/>
          </w:tcPr>
          <w:p w:rsidR="00EB6392" w:rsidRPr="00A96B81" w:rsidRDefault="00EB6392" w:rsidP="005F34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92" w:rsidRPr="00A96B81" w:rsidTr="00253F75">
        <w:trPr>
          <w:trHeight w:val="191"/>
        </w:trPr>
        <w:tc>
          <w:tcPr>
            <w:tcW w:w="3301" w:type="dxa"/>
          </w:tcPr>
          <w:p w:rsidR="00EB6392" w:rsidRPr="00A96B81" w:rsidRDefault="00EB6392" w:rsidP="005F34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9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92" w:rsidRPr="00A96B81" w:rsidTr="00253F75">
        <w:trPr>
          <w:trHeight w:val="191"/>
        </w:trPr>
        <w:tc>
          <w:tcPr>
            <w:tcW w:w="3301" w:type="dxa"/>
          </w:tcPr>
          <w:p w:rsidR="00EB6392" w:rsidRPr="00A96B81" w:rsidRDefault="00EB6392" w:rsidP="005F34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9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92" w:rsidRPr="00A96B81" w:rsidTr="00253F75">
        <w:trPr>
          <w:trHeight w:val="191"/>
        </w:trPr>
        <w:tc>
          <w:tcPr>
            <w:tcW w:w="3301" w:type="dxa"/>
          </w:tcPr>
          <w:p w:rsidR="00EB6392" w:rsidRPr="00A96B81" w:rsidRDefault="00EB6392" w:rsidP="005F34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9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92" w:rsidRPr="00A96B81" w:rsidTr="00253F75">
        <w:trPr>
          <w:trHeight w:val="191"/>
        </w:trPr>
        <w:tc>
          <w:tcPr>
            <w:tcW w:w="3301" w:type="dxa"/>
          </w:tcPr>
          <w:p w:rsidR="00EB6392" w:rsidRPr="00A96B81" w:rsidRDefault="00EB6392" w:rsidP="005F34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9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92" w:rsidRPr="00A96B81" w:rsidTr="00253F75">
        <w:trPr>
          <w:trHeight w:val="191"/>
        </w:trPr>
        <w:tc>
          <w:tcPr>
            <w:tcW w:w="3301" w:type="dxa"/>
          </w:tcPr>
          <w:p w:rsidR="00EB6392" w:rsidRPr="00A96B81" w:rsidRDefault="00EB6392" w:rsidP="005F34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92" w:rsidRPr="00A96B81" w:rsidTr="00253F75">
        <w:trPr>
          <w:trHeight w:val="191"/>
        </w:trPr>
        <w:tc>
          <w:tcPr>
            <w:tcW w:w="3301" w:type="dxa"/>
          </w:tcPr>
          <w:p w:rsidR="00EB6392" w:rsidRPr="00A96B81" w:rsidRDefault="00EB6392" w:rsidP="005F34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92" w:rsidRPr="00A96B81" w:rsidTr="00253F75">
        <w:trPr>
          <w:trHeight w:val="191"/>
        </w:trPr>
        <w:tc>
          <w:tcPr>
            <w:tcW w:w="3301" w:type="dxa"/>
          </w:tcPr>
          <w:p w:rsidR="00EB6392" w:rsidRPr="00A96B81" w:rsidRDefault="00EB6392" w:rsidP="005F34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92" w:rsidRPr="00A96B81" w:rsidTr="00253F75">
        <w:trPr>
          <w:trHeight w:val="191"/>
        </w:trPr>
        <w:tc>
          <w:tcPr>
            <w:tcW w:w="3301" w:type="dxa"/>
          </w:tcPr>
          <w:p w:rsidR="00EB6392" w:rsidRPr="00A96B81" w:rsidRDefault="00EB6392" w:rsidP="005F34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92" w:rsidRPr="00A96B81" w:rsidTr="00253F75">
        <w:trPr>
          <w:trHeight w:val="191"/>
        </w:trPr>
        <w:tc>
          <w:tcPr>
            <w:tcW w:w="3301" w:type="dxa"/>
          </w:tcPr>
          <w:p w:rsidR="00EB6392" w:rsidRPr="00A96B81" w:rsidRDefault="00EB6392" w:rsidP="005F34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6392" w:rsidRPr="00A96B81" w:rsidRDefault="00EB6392" w:rsidP="005F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392" w:rsidRPr="00A96B81" w:rsidRDefault="00EB6392" w:rsidP="00671C9E">
      <w:pPr>
        <w:rPr>
          <w:rFonts w:ascii="Times New Roman" w:hAnsi="Times New Roman" w:cs="Times New Roman"/>
          <w:sz w:val="24"/>
          <w:szCs w:val="24"/>
        </w:rPr>
      </w:pPr>
    </w:p>
    <w:p w:rsidR="00EB6392" w:rsidRPr="00A96B81" w:rsidRDefault="00A96B81" w:rsidP="000E3D31">
      <w:pPr>
        <w:ind w:left="1548" w:hanging="1134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>Напомена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: </w:t>
      </w:r>
      <w:r w:rsidRPr="00A96B81">
        <w:rPr>
          <w:rFonts w:ascii="Times New Roman" w:hAnsi="Times New Roman" w:cs="Times New Roman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складу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са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стратегијом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дефинишу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циљеви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под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), </w:t>
      </w:r>
      <w:r w:rsidRPr="00A96B81">
        <w:rPr>
          <w:rFonts w:ascii="Times New Roman" w:hAnsi="Times New Roman" w:cs="Times New Roman"/>
          <w:sz w:val="24"/>
          <w:szCs w:val="24"/>
        </w:rPr>
        <w:t>б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) </w:t>
      </w:r>
      <w:r w:rsidRPr="00A96B81">
        <w:rPr>
          <w:rFonts w:ascii="Times New Roman" w:hAnsi="Times New Roman" w:cs="Times New Roman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ц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) </w:t>
      </w:r>
      <w:r w:rsidRPr="00A96B81">
        <w:rPr>
          <w:rFonts w:ascii="Times New Roman" w:hAnsi="Times New Roman" w:cs="Times New Roman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ознаком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+ </w:t>
      </w:r>
      <w:r w:rsidRPr="00A96B81">
        <w:rPr>
          <w:rFonts w:ascii="Times New Roman" w:hAnsi="Times New Roman" w:cs="Times New Roman"/>
          <w:sz w:val="24"/>
          <w:szCs w:val="24"/>
        </w:rPr>
        <w:t>уносе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кореспондентни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ризици</w:t>
      </w:r>
      <w:r w:rsidR="00EB6392" w:rsidRPr="00A96B81">
        <w:rPr>
          <w:rFonts w:ascii="Times New Roman" w:hAnsi="Times New Roman" w:cs="Times New Roman"/>
          <w:sz w:val="24"/>
          <w:szCs w:val="24"/>
        </w:rPr>
        <w:br w:type="page"/>
      </w:r>
    </w:p>
    <w:p w:rsidR="00EB6392" w:rsidRPr="00A96B81" w:rsidRDefault="00A96B81" w:rsidP="00671C9E">
      <w:p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lastRenderedPageBreak/>
        <w:t>Прилог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3: </w:t>
      </w:r>
      <w:r w:rsidRPr="00A96B81">
        <w:rPr>
          <w:rFonts w:ascii="Times New Roman" w:hAnsi="Times New Roman" w:cs="Times New Roman"/>
          <w:sz w:val="24"/>
          <w:szCs w:val="24"/>
        </w:rPr>
        <w:t>Листа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(</w:t>
      </w:r>
      <w:r w:rsidRPr="00A96B81">
        <w:rPr>
          <w:rFonts w:ascii="Times New Roman" w:hAnsi="Times New Roman" w:cs="Times New Roman"/>
          <w:sz w:val="24"/>
          <w:szCs w:val="24"/>
        </w:rPr>
        <w:t>Процес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П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2: </w:t>
      </w:r>
      <w:r w:rsidRPr="00A96B81">
        <w:rPr>
          <w:rFonts w:ascii="Times New Roman" w:hAnsi="Times New Roman" w:cs="Times New Roman"/>
          <w:sz w:val="24"/>
          <w:szCs w:val="24"/>
        </w:rPr>
        <w:t>Процес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идентификације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sz w:val="24"/>
          <w:szCs w:val="24"/>
        </w:rPr>
        <w:t>)</w:t>
      </w:r>
    </w:p>
    <w:p w:rsidR="00EB6392" w:rsidRPr="00A96B81" w:rsidRDefault="00A96B81" w:rsidP="00671C9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>Спољашњи</w:t>
      </w:r>
      <w:r w:rsidR="00EB6392" w:rsidRPr="00A96B81">
        <w:rPr>
          <w:rFonts w:ascii="Times New Roman" w:hAnsi="Times New Roman" w:cs="Times New Roman"/>
          <w:sz w:val="24"/>
          <w:szCs w:val="24"/>
        </w:rPr>
        <w:t>:</w:t>
      </w:r>
    </w:p>
    <w:p w:rsidR="00EB6392" w:rsidRPr="00A96B81" w:rsidRDefault="00EB6392" w:rsidP="00671C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1- </w:t>
      </w:r>
      <w:proofErr w:type="gramStart"/>
      <w:r w:rsidR="00A96B81" w:rsidRPr="00A96B81">
        <w:rPr>
          <w:rFonts w:ascii="Times New Roman" w:hAnsi="Times New Roman" w:cs="Times New Roman"/>
          <w:sz w:val="24"/>
          <w:szCs w:val="24"/>
        </w:rPr>
        <w:t>политички</w:t>
      </w:r>
      <w:proofErr w:type="gramEnd"/>
      <w:r w:rsidRPr="00A96B81">
        <w:rPr>
          <w:rFonts w:ascii="Times New Roman" w:hAnsi="Times New Roman" w:cs="Times New Roman"/>
          <w:sz w:val="24"/>
          <w:szCs w:val="24"/>
        </w:rPr>
        <w:t>: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2- </w:t>
      </w:r>
      <w:r w:rsidR="00A96B81" w:rsidRPr="00A96B81">
        <w:rPr>
          <w:rFonts w:ascii="Times New Roman" w:hAnsi="Times New Roman" w:cs="Times New Roman"/>
          <w:sz w:val="24"/>
          <w:szCs w:val="24"/>
        </w:rPr>
        <w:t>буџетско</w:t>
      </w:r>
      <w:r w:rsidRPr="00A96B81">
        <w:rPr>
          <w:rFonts w:ascii="Times New Roman" w:hAnsi="Times New Roman" w:cs="Times New Roman"/>
          <w:sz w:val="24"/>
          <w:szCs w:val="24"/>
        </w:rPr>
        <w:t>-</w:t>
      </w:r>
      <w:r w:rsidR="00A96B81" w:rsidRPr="00A96B81">
        <w:rPr>
          <w:rFonts w:ascii="Times New Roman" w:hAnsi="Times New Roman" w:cs="Times New Roman"/>
          <w:sz w:val="24"/>
          <w:szCs w:val="24"/>
        </w:rPr>
        <w:t>финансијски</w:t>
      </w:r>
      <w:r w:rsidRPr="00A96B81">
        <w:rPr>
          <w:rFonts w:ascii="Times New Roman" w:hAnsi="Times New Roman" w:cs="Times New Roman"/>
          <w:sz w:val="24"/>
          <w:szCs w:val="24"/>
        </w:rPr>
        <w:t>: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3- </w:t>
      </w:r>
      <w:proofErr w:type="gramStart"/>
      <w:r w:rsidR="00A96B81" w:rsidRPr="00A96B81">
        <w:rPr>
          <w:rFonts w:ascii="Times New Roman" w:hAnsi="Times New Roman" w:cs="Times New Roman"/>
          <w:sz w:val="24"/>
          <w:szCs w:val="24"/>
        </w:rPr>
        <w:t>законодавство</w:t>
      </w:r>
      <w:proofErr w:type="gramEnd"/>
      <w:r w:rsidRPr="00A96B81">
        <w:rPr>
          <w:rFonts w:ascii="Times New Roman" w:hAnsi="Times New Roman" w:cs="Times New Roman"/>
          <w:sz w:val="24"/>
          <w:szCs w:val="24"/>
        </w:rPr>
        <w:t>: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4- </w:t>
      </w:r>
      <w:proofErr w:type="gramStart"/>
      <w:r w:rsidR="00A96B81" w:rsidRPr="00A96B81">
        <w:rPr>
          <w:rFonts w:ascii="Times New Roman" w:hAnsi="Times New Roman" w:cs="Times New Roman"/>
          <w:sz w:val="24"/>
          <w:szCs w:val="24"/>
        </w:rPr>
        <w:t>остали</w:t>
      </w:r>
      <w:proofErr w:type="gramEnd"/>
      <w:r w:rsidRPr="00A96B81">
        <w:rPr>
          <w:rFonts w:ascii="Times New Roman" w:hAnsi="Times New Roman" w:cs="Times New Roman"/>
          <w:sz w:val="24"/>
          <w:szCs w:val="24"/>
        </w:rPr>
        <w:t xml:space="preserve"> (</w:t>
      </w:r>
      <w:r w:rsidR="00A96B81" w:rsidRPr="00A96B81">
        <w:rPr>
          <w:rFonts w:ascii="Times New Roman" w:hAnsi="Times New Roman" w:cs="Times New Roman"/>
          <w:sz w:val="24"/>
          <w:szCs w:val="24"/>
        </w:rPr>
        <w:t>посебни</w:t>
      </w:r>
      <w:r w:rsidRPr="00A96B81">
        <w:rPr>
          <w:rFonts w:ascii="Times New Roman" w:hAnsi="Times New Roman" w:cs="Times New Roman"/>
          <w:sz w:val="24"/>
          <w:szCs w:val="24"/>
        </w:rPr>
        <w:t>):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671C9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>Унутрашњи</w:t>
      </w:r>
      <w:r w:rsidR="00EB6392" w:rsidRPr="00A96B81">
        <w:rPr>
          <w:rFonts w:ascii="Times New Roman" w:hAnsi="Times New Roman" w:cs="Times New Roman"/>
          <w:sz w:val="24"/>
          <w:szCs w:val="24"/>
        </w:rPr>
        <w:t>:</w:t>
      </w:r>
    </w:p>
    <w:p w:rsidR="00EB6392" w:rsidRPr="00A96B81" w:rsidRDefault="00A96B81" w:rsidP="00671C9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>поштовање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рокова</w:t>
      </w:r>
      <w:r w:rsidR="00EB6392" w:rsidRPr="00A96B81">
        <w:rPr>
          <w:rFonts w:ascii="Times New Roman" w:hAnsi="Times New Roman" w:cs="Times New Roman"/>
          <w:sz w:val="24"/>
          <w:szCs w:val="24"/>
        </w:rPr>
        <w:t>: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671C9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>квалитет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јавних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услуга</w:t>
      </w:r>
      <w:r w:rsidR="00EB6392" w:rsidRPr="00A96B81">
        <w:rPr>
          <w:rFonts w:ascii="Times New Roman" w:hAnsi="Times New Roman" w:cs="Times New Roman"/>
          <w:sz w:val="24"/>
          <w:szCs w:val="24"/>
        </w:rPr>
        <w:t>: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B6392" w:rsidRPr="00A96B81" w:rsidRDefault="00A96B81" w:rsidP="00671C9E">
      <w:pPr>
        <w:pStyle w:val="ListParagraph"/>
        <w:keepNext/>
        <w:keepLines/>
        <w:numPr>
          <w:ilvl w:val="0"/>
          <w:numId w:val="16"/>
        </w:numPr>
        <w:ind w:hanging="357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>информациона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сигурност</w:t>
      </w:r>
      <w:r w:rsidR="00EB6392" w:rsidRPr="00A96B81">
        <w:rPr>
          <w:rFonts w:ascii="Times New Roman" w:hAnsi="Times New Roman" w:cs="Times New Roman"/>
          <w:sz w:val="24"/>
          <w:szCs w:val="24"/>
        </w:rPr>
        <w:t>:</w:t>
      </w:r>
    </w:p>
    <w:p w:rsidR="00EB6392" w:rsidRPr="00A96B81" w:rsidRDefault="00EB6392" w:rsidP="00671C9E">
      <w:pPr>
        <w:pStyle w:val="ListParagraph"/>
        <w:keepNext/>
        <w:keepLines/>
        <w:numPr>
          <w:ilvl w:val="1"/>
          <w:numId w:val="15"/>
        </w:numPr>
        <w:ind w:hanging="357"/>
        <w:rPr>
          <w:rFonts w:ascii="Times New Roman" w:hAnsi="Times New Roman" w:cs="Times New Roman"/>
          <w:sz w:val="24"/>
          <w:szCs w:val="24"/>
        </w:rPr>
      </w:pPr>
    </w:p>
    <w:p w:rsidR="00EB6392" w:rsidRPr="00A96B81" w:rsidRDefault="00EB6392" w:rsidP="00671C9E">
      <w:pPr>
        <w:pStyle w:val="ListParagraph"/>
        <w:keepNext/>
        <w:keepLines/>
        <w:numPr>
          <w:ilvl w:val="1"/>
          <w:numId w:val="15"/>
        </w:numPr>
        <w:ind w:hanging="357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keepNext/>
        <w:keepLines/>
        <w:numPr>
          <w:ilvl w:val="1"/>
          <w:numId w:val="15"/>
        </w:numPr>
        <w:ind w:hanging="357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671C9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>општи</w:t>
      </w:r>
      <w:r w:rsidR="00EB6392" w:rsidRPr="00A96B81">
        <w:rPr>
          <w:rFonts w:ascii="Times New Roman" w:hAnsi="Times New Roman" w:cs="Times New Roman"/>
          <w:sz w:val="24"/>
          <w:szCs w:val="24"/>
        </w:rPr>
        <w:t>: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A96B81" w:rsidP="00671C9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>остали</w:t>
      </w:r>
      <w:r w:rsidR="00EB6392" w:rsidRPr="00A96B81">
        <w:rPr>
          <w:rFonts w:ascii="Times New Roman" w:hAnsi="Times New Roman" w:cs="Times New Roman"/>
          <w:sz w:val="24"/>
          <w:szCs w:val="24"/>
        </w:rPr>
        <w:t>: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92" w:rsidRPr="00A96B81" w:rsidRDefault="00EB6392" w:rsidP="00671C9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F23" w:rsidRPr="00A96B81" w:rsidRDefault="00A96B81" w:rsidP="00BE7F23">
      <w:pPr>
        <w:ind w:left="1548" w:hanging="1134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>Напомена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: </w:t>
      </w:r>
      <w:r w:rsidRPr="00A96B81">
        <w:rPr>
          <w:rFonts w:ascii="Times New Roman" w:hAnsi="Times New Roman" w:cs="Times New Roman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складу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са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стратегијом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управљање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ризицима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утврђују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врсте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тако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формира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листа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sz w:val="24"/>
          <w:szCs w:val="24"/>
        </w:rPr>
        <w:t>која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ажурира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најмање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једном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годишње</w:t>
      </w:r>
      <w:r w:rsidR="00EB6392" w:rsidRPr="00A96B81">
        <w:rPr>
          <w:rFonts w:ascii="Times New Roman" w:hAnsi="Times New Roman" w:cs="Times New Roman"/>
          <w:sz w:val="24"/>
          <w:szCs w:val="24"/>
        </w:rPr>
        <w:t>.</w:t>
      </w:r>
    </w:p>
    <w:p w:rsidR="00EB6392" w:rsidRPr="00A96B81" w:rsidRDefault="00A96B81" w:rsidP="00671C9E">
      <w:p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>Прилог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4: </w:t>
      </w:r>
      <w:r w:rsidRPr="00A96B81">
        <w:rPr>
          <w:rFonts w:ascii="Times New Roman" w:hAnsi="Times New Roman" w:cs="Times New Roman"/>
          <w:sz w:val="24"/>
          <w:szCs w:val="24"/>
        </w:rPr>
        <w:t>Утврђивање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интензитета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(</w:t>
      </w:r>
      <w:r w:rsidRPr="00A96B81">
        <w:rPr>
          <w:rFonts w:ascii="Times New Roman" w:hAnsi="Times New Roman" w:cs="Times New Roman"/>
          <w:sz w:val="24"/>
          <w:szCs w:val="24"/>
        </w:rPr>
        <w:t>Процес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П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3: </w:t>
      </w:r>
      <w:r w:rsidRPr="00A96B81">
        <w:rPr>
          <w:rFonts w:ascii="Times New Roman" w:hAnsi="Times New Roman" w:cs="Times New Roman"/>
          <w:sz w:val="24"/>
          <w:szCs w:val="24"/>
        </w:rPr>
        <w:t>Процеса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процене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рангирања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sz w:val="24"/>
          <w:szCs w:val="24"/>
        </w:rPr>
        <w:t>)</w:t>
      </w:r>
    </w:p>
    <w:p w:rsidR="00EB6392" w:rsidRPr="00A96B81" w:rsidRDefault="00A96B81" w:rsidP="00C970AC">
      <w:p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>Интезитет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(</w:t>
      </w:r>
      <w:r w:rsidRPr="00A96B81">
        <w:rPr>
          <w:rFonts w:ascii="Times New Roman" w:hAnsi="Times New Roman" w:cs="Times New Roman"/>
          <w:sz w:val="24"/>
          <w:szCs w:val="24"/>
        </w:rPr>
        <w:t>ИР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) </w:t>
      </w:r>
      <w:r w:rsidRPr="00A96B81">
        <w:rPr>
          <w:rFonts w:ascii="Times New Roman" w:hAnsi="Times New Roman" w:cs="Times New Roman"/>
          <w:sz w:val="24"/>
          <w:szCs w:val="24"/>
        </w:rPr>
        <w:t>утврђује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на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основу</w:t>
      </w:r>
      <w:r w:rsidR="00EB6392" w:rsidRPr="00A96B81">
        <w:rPr>
          <w:rFonts w:ascii="Times New Roman" w:hAnsi="Times New Roman" w:cs="Times New Roman"/>
          <w:sz w:val="24"/>
          <w:szCs w:val="24"/>
        </w:rPr>
        <w:t>:</w:t>
      </w:r>
    </w:p>
    <w:p w:rsidR="00EB6392" w:rsidRPr="00A96B81" w:rsidRDefault="00A96B81" w:rsidP="00671C9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>Утицаја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– </w:t>
      </w:r>
      <w:r w:rsidRPr="00A96B81">
        <w:rPr>
          <w:rFonts w:ascii="Times New Roman" w:hAnsi="Times New Roman" w:cs="Times New Roman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(1</w:t>
      </w:r>
      <w:r w:rsidR="00EB6392" w:rsidRPr="00A96B81">
        <w:rPr>
          <w:rFonts w:ascii="Times New Roman" w:hAnsi="Times New Roman" w:cs="Times New Roman"/>
          <w:sz w:val="24"/>
          <w:szCs w:val="24"/>
        </w:rPr>
        <w:sym w:font="Symbol" w:char="F0B8"/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3) </w:t>
      </w:r>
      <w:r w:rsidRPr="00A96B81">
        <w:rPr>
          <w:rFonts w:ascii="Times New Roman" w:hAnsi="Times New Roman" w:cs="Times New Roman"/>
          <w:sz w:val="24"/>
          <w:szCs w:val="24"/>
        </w:rPr>
        <w:t>и</w:t>
      </w:r>
    </w:p>
    <w:p w:rsidR="00EB6392" w:rsidRPr="00A96B81" w:rsidRDefault="00A96B81" w:rsidP="00671C9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>Вероватноће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појаве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ризика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В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(1</w:t>
      </w:r>
      <w:r w:rsidR="00EB6392" w:rsidRPr="00A96B81">
        <w:rPr>
          <w:rFonts w:ascii="Times New Roman" w:hAnsi="Times New Roman" w:cs="Times New Roman"/>
          <w:sz w:val="24"/>
          <w:szCs w:val="24"/>
        </w:rPr>
        <w:sym w:font="Symbol" w:char="F0B8"/>
      </w:r>
      <w:r w:rsidR="00EB6392" w:rsidRPr="00A96B81">
        <w:rPr>
          <w:rFonts w:ascii="Times New Roman" w:hAnsi="Times New Roman" w:cs="Times New Roman"/>
          <w:sz w:val="24"/>
          <w:szCs w:val="24"/>
        </w:rPr>
        <w:t>3).</w:t>
      </w:r>
    </w:p>
    <w:p w:rsidR="00EB6392" w:rsidRPr="00A96B81" w:rsidRDefault="00A96B81" w:rsidP="00C970A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>Користећи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оцене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ИР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и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sz w:val="24"/>
          <w:szCs w:val="24"/>
        </w:rPr>
        <w:t>њиховим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множењем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добијају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ИР</w:t>
      </w:r>
      <w:r w:rsidR="00EB6392" w:rsidRPr="00A96B81">
        <w:rPr>
          <w:rFonts w:ascii="Times New Roman" w:hAnsi="Times New Roman" w:cs="Times New Roman"/>
          <w:sz w:val="24"/>
          <w:szCs w:val="24"/>
        </w:rPr>
        <w:t>.</w:t>
      </w:r>
    </w:p>
    <w:p w:rsidR="00EB6392" w:rsidRPr="00A96B81" w:rsidRDefault="00A96B81" w:rsidP="00671C9E">
      <w:pPr>
        <w:pStyle w:val="ListParagraph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>ИР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= </w:t>
      </w:r>
      <w:r w:rsidRPr="00A96B81">
        <w:rPr>
          <w:rFonts w:ascii="Times New Roman" w:hAnsi="Times New Roman" w:cs="Times New Roman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* </w:t>
      </w:r>
      <w:r w:rsidRPr="00A96B81">
        <w:rPr>
          <w:rFonts w:ascii="Times New Roman" w:hAnsi="Times New Roman" w:cs="Times New Roman"/>
          <w:sz w:val="24"/>
          <w:szCs w:val="24"/>
        </w:rPr>
        <w:t>В</w:t>
      </w:r>
    </w:p>
    <w:p w:rsidR="00EB6392" w:rsidRPr="00A96B81" w:rsidRDefault="00306A09" w:rsidP="0059460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lastRenderedPageBreak/>
        <w:drawing>
          <wp:inline distT="0" distB="0" distL="0" distR="0">
            <wp:extent cx="4441190" cy="33909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392" w:rsidRPr="00A96B81" w:rsidRDefault="00EB6392" w:rsidP="00671C9E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F23" w:rsidRDefault="00A96B81" w:rsidP="00D21BBB">
      <w:pPr>
        <w:jc w:val="both"/>
        <w:rPr>
          <w:rFonts w:ascii="Times New Roman" w:hAnsi="Times New Roman" w:cs="Times New Roman"/>
          <w:sz w:val="24"/>
          <w:szCs w:val="24"/>
        </w:rPr>
      </w:pPr>
      <w:r w:rsidRPr="00A96B81">
        <w:rPr>
          <w:rFonts w:ascii="Times New Roman" w:hAnsi="Times New Roman" w:cs="Times New Roman"/>
          <w:sz w:val="24"/>
          <w:szCs w:val="24"/>
        </w:rPr>
        <w:t>Уколико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је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ИР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мање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од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2, </w:t>
      </w:r>
      <w:r w:rsidRPr="00A96B81">
        <w:rPr>
          <w:rFonts w:ascii="Times New Roman" w:hAnsi="Times New Roman" w:cs="Times New Roman"/>
          <w:sz w:val="24"/>
          <w:szCs w:val="24"/>
        </w:rPr>
        <w:t>сматра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да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је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мали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, </w:t>
      </w:r>
      <w:r w:rsidRPr="00A96B81">
        <w:rPr>
          <w:rFonts w:ascii="Times New Roman" w:hAnsi="Times New Roman" w:cs="Times New Roman"/>
          <w:sz w:val="24"/>
          <w:szCs w:val="24"/>
        </w:rPr>
        <w:t>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у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интервалу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2-4 </w:t>
      </w:r>
      <w:r w:rsidRPr="00A96B81">
        <w:rPr>
          <w:rFonts w:ascii="Times New Roman" w:hAnsi="Times New Roman" w:cs="Times New Roman"/>
          <w:sz w:val="24"/>
          <w:szCs w:val="24"/>
        </w:rPr>
        <w:t>средњи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. </w:t>
      </w:r>
      <w:r w:rsidRPr="00A96B81">
        <w:rPr>
          <w:rFonts w:ascii="Times New Roman" w:hAnsi="Times New Roman" w:cs="Times New Roman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ИР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веће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од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6 </w:t>
      </w:r>
      <w:r w:rsidRPr="00A96B81">
        <w:rPr>
          <w:rFonts w:ascii="Times New Roman" w:hAnsi="Times New Roman" w:cs="Times New Roman"/>
          <w:sz w:val="24"/>
          <w:szCs w:val="24"/>
        </w:rPr>
        <w:t>морају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се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предузети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хитне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мере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за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његово</w:t>
      </w:r>
      <w:r w:rsidR="00EB6392" w:rsidRPr="00A96B81">
        <w:rPr>
          <w:rFonts w:ascii="Times New Roman" w:hAnsi="Times New Roman" w:cs="Times New Roman"/>
          <w:sz w:val="24"/>
          <w:szCs w:val="24"/>
        </w:rPr>
        <w:t xml:space="preserve"> </w:t>
      </w:r>
      <w:r w:rsidRPr="00A96B81">
        <w:rPr>
          <w:rFonts w:ascii="Times New Roman" w:hAnsi="Times New Roman" w:cs="Times New Roman"/>
          <w:sz w:val="24"/>
          <w:szCs w:val="24"/>
        </w:rPr>
        <w:t>смањивање</w:t>
      </w:r>
      <w:r w:rsidR="00EB6392" w:rsidRPr="00A96B81">
        <w:rPr>
          <w:rFonts w:ascii="Times New Roman" w:hAnsi="Times New Roman" w:cs="Times New Roman"/>
          <w:sz w:val="24"/>
          <w:szCs w:val="24"/>
        </w:rPr>
        <w:t>.</w:t>
      </w:r>
    </w:p>
    <w:p w:rsidR="00500781" w:rsidRDefault="00500781" w:rsidP="00D21B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F23" w:rsidRDefault="00BE7F23" w:rsidP="00BE7F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7F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BE7F23">
        <w:rPr>
          <w:rFonts w:ascii="Times New Roman" w:hAnsi="Times New Roman" w:cs="Times New Roman"/>
          <w:b/>
          <w:sz w:val="24"/>
          <w:szCs w:val="24"/>
          <w:lang w:val="sr-Cyrl-RS"/>
        </w:rPr>
        <w:t>ОПШТИНСКО ВЕЋЕ ОПШТИНЕ РАЧА</w:t>
      </w:r>
    </w:p>
    <w:p w:rsidR="00041C77" w:rsidRDefault="00041C77" w:rsidP="00BE7F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41C77" w:rsidRPr="00BE7F23" w:rsidRDefault="00041C77" w:rsidP="00BE7F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E7F23" w:rsidRPr="00BE7F23" w:rsidRDefault="00BE7F23" w:rsidP="00041C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7F23">
        <w:rPr>
          <w:rFonts w:ascii="Times New Roman" w:hAnsi="Times New Roman" w:cs="Times New Roman"/>
          <w:b/>
          <w:sz w:val="24"/>
          <w:szCs w:val="24"/>
          <w:lang w:val="sr-Cyrl-RS"/>
        </w:rPr>
        <w:t>Број: 021-42/2022-</w:t>
      </w:r>
      <w:r w:rsidRPr="00BE7F23">
        <w:rPr>
          <w:rFonts w:ascii="Times New Roman" w:hAnsi="Times New Roman" w:cs="Times New Roman"/>
          <w:b/>
          <w:sz w:val="24"/>
          <w:szCs w:val="24"/>
        </w:rPr>
        <w:t>II</w:t>
      </w:r>
      <w:r w:rsidRPr="00BE7F2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-01 </w:t>
      </w:r>
    </w:p>
    <w:p w:rsidR="00BE7F23" w:rsidRPr="00BE7F23" w:rsidRDefault="00041C77" w:rsidP="00041C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Дана: </w:t>
      </w:r>
      <w:r w:rsidR="008814B9">
        <w:rPr>
          <w:rFonts w:ascii="Times New Roman" w:hAnsi="Times New Roman" w:cs="Times New Roman"/>
          <w:b/>
          <w:sz w:val="24"/>
          <w:szCs w:val="24"/>
          <w:lang w:val="sr-Cyrl-RS"/>
        </w:rPr>
        <w:t>02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8814B9">
        <w:rPr>
          <w:rFonts w:ascii="Times New Roman" w:hAnsi="Times New Roman" w:cs="Times New Roman"/>
          <w:b/>
          <w:sz w:val="24"/>
          <w:szCs w:val="24"/>
          <w:lang w:val="sr-Latn-RS"/>
        </w:rPr>
        <w:t>03.</w:t>
      </w:r>
      <w:r w:rsidR="00BE7F23" w:rsidRPr="00BE7F23">
        <w:rPr>
          <w:rFonts w:ascii="Times New Roman" w:hAnsi="Times New Roman" w:cs="Times New Roman"/>
          <w:b/>
          <w:sz w:val="24"/>
          <w:szCs w:val="24"/>
          <w:lang w:val="sr-Cyrl-RS"/>
        </w:rPr>
        <w:t>2022. године</w:t>
      </w:r>
    </w:p>
    <w:p w:rsidR="00BE7F23" w:rsidRPr="00500781" w:rsidRDefault="00BE7F23" w:rsidP="00041C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00781" w:rsidRPr="008814B9" w:rsidRDefault="00500781" w:rsidP="00500781">
      <w:pPr>
        <w:ind w:left="5040" w:firstLine="720"/>
        <w:jc w:val="center"/>
        <w:rPr>
          <w:rFonts w:ascii="Times New Roman" w:hAnsi="Times New Roman" w:cs="Times New Roman"/>
          <w:lang w:val="sr-Latn-RS"/>
        </w:rPr>
      </w:pPr>
    </w:p>
    <w:p w:rsidR="00500781" w:rsidRPr="00500781" w:rsidRDefault="008814B9" w:rsidP="00500781">
      <w:pPr>
        <w:ind w:left="4265" w:firstLine="698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ПРЕДСЕДНИК</w:t>
      </w:r>
    </w:p>
    <w:p w:rsidR="00500781" w:rsidRPr="00500781" w:rsidRDefault="00500781" w:rsidP="00500781">
      <w:pPr>
        <w:ind w:left="4265" w:firstLine="698"/>
        <w:jc w:val="center"/>
        <w:rPr>
          <w:rFonts w:ascii="Times New Roman" w:hAnsi="Times New Roman" w:cs="Times New Roman"/>
        </w:rPr>
      </w:pPr>
      <w:r w:rsidRPr="00500781">
        <w:rPr>
          <w:rFonts w:ascii="Times New Roman" w:hAnsi="Times New Roman" w:cs="Times New Roman"/>
          <w:lang w:val="sr-Cyrl-RS"/>
        </w:rPr>
        <w:t xml:space="preserve">       </w:t>
      </w:r>
      <w:r w:rsidR="008814B9">
        <w:rPr>
          <w:rFonts w:ascii="Times New Roman" w:hAnsi="Times New Roman" w:cs="Times New Roman"/>
          <w:lang w:val="sr-Cyrl-RS"/>
        </w:rPr>
        <w:t xml:space="preserve"> </w:t>
      </w:r>
      <w:r w:rsidRPr="00500781">
        <w:rPr>
          <w:rFonts w:ascii="Times New Roman" w:hAnsi="Times New Roman" w:cs="Times New Roman"/>
          <w:lang w:val="sr-Cyrl-RS"/>
        </w:rPr>
        <w:t xml:space="preserve"> </w:t>
      </w:r>
      <w:r w:rsidRPr="00500781">
        <w:rPr>
          <w:rFonts w:ascii="Times New Roman" w:hAnsi="Times New Roman" w:cs="Times New Roman"/>
        </w:rPr>
        <w:t>_______________________</w:t>
      </w:r>
    </w:p>
    <w:p w:rsidR="00500781" w:rsidRPr="00500781" w:rsidRDefault="00500781" w:rsidP="00500781">
      <w:pPr>
        <w:tabs>
          <w:tab w:val="left" w:pos="6210"/>
        </w:tabs>
        <w:rPr>
          <w:rFonts w:ascii="Times New Roman" w:hAnsi="Times New Roman" w:cs="Times New Roman"/>
          <w:lang w:val="sr-Cyrl-RS"/>
        </w:rPr>
      </w:pPr>
      <w:r w:rsidRPr="00500781">
        <w:rPr>
          <w:rFonts w:ascii="Times New Roman" w:hAnsi="Times New Roman" w:cs="Times New Roman"/>
          <w:b/>
        </w:rPr>
        <w:tab/>
      </w:r>
      <w:r w:rsidRPr="00500781">
        <w:rPr>
          <w:rFonts w:ascii="Times New Roman" w:hAnsi="Times New Roman" w:cs="Times New Roman"/>
          <w:b/>
        </w:rPr>
        <w:tab/>
      </w:r>
      <w:r w:rsidR="008814B9">
        <w:rPr>
          <w:rFonts w:ascii="Times New Roman" w:hAnsi="Times New Roman" w:cs="Times New Roman"/>
          <w:b/>
        </w:rPr>
        <w:t xml:space="preserve">   </w:t>
      </w:r>
      <w:r w:rsidR="008814B9">
        <w:rPr>
          <w:rFonts w:ascii="Times New Roman" w:hAnsi="Times New Roman" w:cs="Times New Roman"/>
          <w:b/>
          <w:lang w:val="sr-Cyrl-RS"/>
        </w:rPr>
        <w:t xml:space="preserve"> Ненад Савковић</w:t>
      </w:r>
    </w:p>
    <w:p w:rsidR="00BE7F23" w:rsidRDefault="00041C77" w:rsidP="00D21BB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Доставити:</w:t>
      </w:r>
    </w:p>
    <w:p w:rsidR="00102868" w:rsidRDefault="00041C77" w:rsidP="0010286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C77">
        <w:rPr>
          <w:rFonts w:ascii="Times New Roman" w:hAnsi="Times New Roman" w:cs="Times New Roman"/>
          <w:sz w:val="24"/>
          <w:szCs w:val="24"/>
          <w:lang w:val="sr-Cyrl-RS"/>
        </w:rPr>
        <w:t>Комисији за израду стратегије управљања ризицима;</w:t>
      </w:r>
    </w:p>
    <w:p w:rsidR="00102868" w:rsidRPr="00102868" w:rsidRDefault="00102868" w:rsidP="0010286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2868">
        <w:rPr>
          <w:rFonts w:ascii="Times New Roman" w:hAnsi="Times New Roman" w:cs="Times New Roman"/>
          <w:lang w:val="sr-Cyrl-CS"/>
        </w:rPr>
        <w:t>Званичној презентацији општине Рача;</w:t>
      </w:r>
    </w:p>
    <w:p w:rsidR="00C06B1B" w:rsidRDefault="00102868" w:rsidP="00041C77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Службеном гласнику општине Рача</w:t>
      </w:r>
      <w:r w:rsidR="00C06B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41C77" w:rsidRPr="00041C77" w:rsidRDefault="00041C77" w:rsidP="00041C77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C77">
        <w:rPr>
          <w:rFonts w:ascii="Times New Roman" w:hAnsi="Times New Roman" w:cs="Times New Roman"/>
          <w:sz w:val="24"/>
          <w:szCs w:val="24"/>
          <w:lang w:val="sr-Cyrl-RS"/>
        </w:rPr>
        <w:t xml:space="preserve">Архиви. </w:t>
      </w:r>
      <w:r w:rsidR="00531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041C77" w:rsidRPr="00041C77" w:rsidSect="00AF2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75DB5"/>
    <w:multiLevelType w:val="hybridMultilevel"/>
    <w:tmpl w:val="88BE817C"/>
    <w:lvl w:ilvl="0" w:tplc="8D045D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6429D"/>
    <w:multiLevelType w:val="hybridMultilevel"/>
    <w:tmpl w:val="A0044696"/>
    <w:lvl w:ilvl="0" w:tplc="3578B6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C70640"/>
    <w:multiLevelType w:val="hybridMultilevel"/>
    <w:tmpl w:val="AF50069E"/>
    <w:lvl w:ilvl="0" w:tplc="0DD89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B44598"/>
    <w:multiLevelType w:val="hybridMultilevel"/>
    <w:tmpl w:val="5992A048"/>
    <w:lvl w:ilvl="0" w:tplc="3578B6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459276A"/>
    <w:multiLevelType w:val="hybridMultilevel"/>
    <w:tmpl w:val="AB94B912"/>
    <w:lvl w:ilvl="0" w:tplc="3578B6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50F5961"/>
    <w:multiLevelType w:val="hybridMultilevel"/>
    <w:tmpl w:val="21B8DAEC"/>
    <w:lvl w:ilvl="0" w:tplc="B6B82B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4257E0"/>
    <w:multiLevelType w:val="hybridMultilevel"/>
    <w:tmpl w:val="3404D3CA"/>
    <w:lvl w:ilvl="0" w:tplc="E0CA4E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90F3C2B"/>
    <w:multiLevelType w:val="hybridMultilevel"/>
    <w:tmpl w:val="DDD01C48"/>
    <w:lvl w:ilvl="0" w:tplc="3578B6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4007B70"/>
    <w:multiLevelType w:val="hybridMultilevel"/>
    <w:tmpl w:val="81B223C4"/>
    <w:lvl w:ilvl="0" w:tplc="3578B6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75E1B7F"/>
    <w:multiLevelType w:val="hybridMultilevel"/>
    <w:tmpl w:val="3F2E25C2"/>
    <w:lvl w:ilvl="0" w:tplc="3578B6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AA60518"/>
    <w:multiLevelType w:val="hybridMultilevel"/>
    <w:tmpl w:val="366EA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C332D"/>
    <w:multiLevelType w:val="hybridMultilevel"/>
    <w:tmpl w:val="975AD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8431B"/>
    <w:multiLevelType w:val="hybridMultilevel"/>
    <w:tmpl w:val="8FF075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02A46"/>
    <w:multiLevelType w:val="hybridMultilevel"/>
    <w:tmpl w:val="96A82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9326A"/>
    <w:multiLevelType w:val="hybridMultilevel"/>
    <w:tmpl w:val="5CEAE432"/>
    <w:lvl w:ilvl="0" w:tplc="90BAAA7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487579D"/>
    <w:multiLevelType w:val="hybridMultilevel"/>
    <w:tmpl w:val="B806768A"/>
    <w:lvl w:ilvl="0" w:tplc="8984FE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7683F"/>
    <w:multiLevelType w:val="hybridMultilevel"/>
    <w:tmpl w:val="2F3A37EA"/>
    <w:lvl w:ilvl="0" w:tplc="3578B6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D3B0C66"/>
    <w:multiLevelType w:val="hybridMultilevel"/>
    <w:tmpl w:val="836C3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23992"/>
    <w:multiLevelType w:val="hybridMultilevel"/>
    <w:tmpl w:val="FFDC4058"/>
    <w:lvl w:ilvl="0" w:tplc="5600A8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14"/>
  </w:num>
  <w:num w:numId="10">
    <w:abstractNumId w:val="16"/>
  </w:num>
  <w:num w:numId="11">
    <w:abstractNumId w:val="17"/>
  </w:num>
  <w:num w:numId="12">
    <w:abstractNumId w:val="5"/>
  </w:num>
  <w:num w:numId="13">
    <w:abstractNumId w:val="0"/>
  </w:num>
  <w:num w:numId="14">
    <w:abstractNumId w:val="15"/>
  </w:num>
  <w:num w:numId="15">
    <w:abstractNumId w:val="6"/>
  </w:num>
  <w:num w:numId="16">
    <w:abstractNumId w:val="2"/>
  </w:num>
  <w:num w:numId="17">
    <w:abstractNumId w:val="12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defaultTabStop w:val="720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89"/>
    <w:rsid w:val="000204A6"/>
    <w:rsid w:val="00024122"/>
    <w:rsid w:val="00041C77"/>
    <w:rsid w:val="0006182A"/>
    <w:rsid w:val="00076F38"/>
    <w:rsid w:val="00077867"/>
    <w:rsid w:val="000961AD"/>
    <w:rsid w:val="000A640F"/>
    <w:rsid w:val="000B10E5"/>
    <w:rsid w:val="000C2F0D"/>
    <w:rsid w:val="000D6367"/>
    <w:rsid w:val="000E2B18"/>
    <w:rsid w:val="000E3D31"/>
    <w:rsid w:val="001004BE"/>
    <w:rsid w:val="00102868"/>
    <w:rsid w:val="0011323D"/>
    <w:rsid w:val="00114B79"/>
    <w:rsid w:val="00133FBC"/>
    <w:rsid w:val="001516D4"/>
    <w:rsid w:val="00155DE1"/>
    <w:rsid w:val="00162320"/>
    <w:rsid w:val="00191BD4"/>
    <w:rsid w:val="001C08A9"/>
    <w:rsid w:val="001C1B3F"/>
    <w:rsid w:val="001D0913"/>
    <w:rsid w:val="001D0AD0"/>
    <w:rsid w:val="001D3544"/>
    <w:rsid w:val="001D4F09"/>
    <w:rsid w:val="00200274"/>
    <w:rsid w:val="002240ED"/>
    <w:rsid w:val="00230A00"/>
    <w:rsid w:val="00234FF2"/>
    <w:rsid w:val="00253F75"/>
    <w:rsid w:val="002657F4"/>
    <w:rsid w:val="00270B49"/>
    <w:rsid w:val="00276512"/>
    <w:rsid w:val="002945F4"/>
    <w:rsid w:val="002D053A"/>
    <w:rsid w:val="002F1058"/>
    <w:rsid w:val="00306A09"/>
    <w:rsid w:val="00326167"/>
    <w:rsid w:val="003325A1"/>
    <w:rsid w:val="0033478B"/>
    <w:rsid w:val="00351F1C"/>
    <w:rsid w:val="003910E5"/>
    <w:rsid w:val="003B359A"/>
    <w:rsid w:val="003D4F23"/>
    <w:rsid w:val="00405D51"/>
    <w:rsid w:val="00406746"/>
    <w:rsid w:val="00423101"/>
    <w:rsid w:val="004621BA"/>
    <w:rsid w:val="00462D00"/>
    <w:rsid w:val="004703A5"/>
    <w:rsid w:val="00472037"/>
    <w:rsid w:val="004817B2"/>
    <w:rsid w:val="00491F06"/>
    <w:rsid w:val="00495ADE"/>
    <w:rsid w:val="004D3C17"/>
    <w:rsid w:val="004F435A"/>
    <w:rsid w:val="004F7413"/>
    <w:rsid w:val="00500781"/>
    <w:rsid w:val="00522558"/>
    <w:rsid w:val="00523DAC"/>
    <w:rsid w:val="00531722"/>
    <w:rsid w:val="00535B51"/>
    <w:rsid w:val="00536249"/>
    <w:rsid w:val="00536AFA"/>
    <w:rsid w:val="005832CE"/>
    <w:rsid w:val="00594605"/>
    <w:rsid w:val="00597E98"/>
    <w:rsid w:val="005B59A6"/>
    <w:rsid w:val="005B6F9C"/>
    <w:rsid w:val="005C1970"/>
    <w:rsid w:val="005C2D88"/>
    <w:rsid w:val="005D48AE"/>
    <w:rsid w:val="005D5C7E"/>
    <w:rsid w:val="005E4E47"/>
    <w:rsid w:val="005E6D03"/>
    <w:rsid w:val="005F3477"/>
    <w:rsid w:val="0062141C"/>
    <w:rsid w:val="00634EF1"/>
    <w:rsid w:val="00636928"/>
    <w:rsid w:val="00641C15"/>
    <w:rsid w:val="00654D57"/>
    <w:rsid w:val="0065556E"/>
    <w:rsid w:val="006618A0"/>
    <w:rsid w:val="00671554"/>
    <w:rsid w:val="00671C9E"/>
    <w:rsid w:val="006A3F51"/>
    <w:rsid w:val="006A40D3"/>
    <w:rsid w:val="006E79D4"/>
    <w:rsid w:val="00716150"/>
    <w:rsid w:val="007469EA"/>
    <w:rsid w:val="0076610C"/>
    <w:rsid w:val="007811FF"/>
    <w:rsid w:val="007C3DB8"/>
    <w:rsid w:val="00806113"/>
    <w:rsid w:val="00812710"/>
    <w:rsid w:val="00852D55"/>
    <w:rsid w:val="008814B9"/>
    <w:rsid w:val="008B1B3B"/>
    <w:rsid w:val="008B5490"/>
    <w:rsid w:val="008C7792"/>
    <w:rsid w:val="008D6E6C"/>
    <w:rsid w:val="008E37EC"/>
    <w:rsid w:val="008F0233"/>
    <w:rsid w:val="009307AF"/>
    <w:rsid w:val="00940908"/>
    <w:rsid w:val="00944BC0"/>
    <w:rsid w:val="00952ED5"/>
    <w:rsid w:val="00955604"/>
    <w:rsid w:val="00964FC3"/>
    <w:rsid w:val="009B26D3"/>
    <w:rsid w:val="009D2B3B"/>
    <w:rsid w:val="00A0030E"/>
    <w:rsid w:val="00A01BDD"/>
    <w:rsid w:val="00A2348B"/>
    <w:rsid w:val="00A93D6C"/>
    <w:rsid w:val="00A96B81"/>
    <w:rsid w:val="00AC7D66"/>
    <w:rsid w:val="00AF2DBE"/>
    <w:rsid w:val="00B0007B"/>
    <w:rsid w:val="00B02DAA"/>
    <w:rsid w:val="00B104E1"/>
    <w:rsid w:val="00B20346"/>
    <w:rsid w:val="00B22CB4"/>
    <w:rsid w:val="00B24576"/>
    <w:rsid w:val="00B35C43"/>
    <w:rsid w:val="00B361C9"/>
    <w:rsid w:val="00B65330"/>
    <w:rsid w:val="00B7416A"/>
    <w:rsid w:val="00BD42C8"/>
    <w:rsid w:val="00BD669B"/>
    <w:rsid w:val="00BD69FF"/>
    <w:rsid w:val="00BE7F23"/>
    <w:rsid w:val="00C06B1B"/>
    <w:rsid w:val="00C15548"/>
    <w:rsid w:val="00C17819"/>
    <w:rsid w:val="00C26A6F"/>
    <w:rsid w:val="00C57BB5"/>
    <w:rsid w:val="00C66DA9"/>
    <w:rsid w:val="00C93F50"/>
    <w:rsid w:val="00C970AC"/>
    <w:rsid w:val="00CC3AB9"/>
    <w:rsid w:val="00CD4714"/>
    <w:rsid w:val="00CE48BF"/>
    <w:rsid w:val="00D21BBB"/>
    <w:rsid w:val="00D51589"/>
    <w:rsid w:val="00D53548"/>
    <w:rsid w:val="00D53EC2"/>
    <w:rsid w:val="00D65256"/>
    <w:rsid w:val="00D8563E"/>
    <w:rsid w:val="00D877CF"/>
    <w:rsid w:val="00D954FA"/>
    <w:rsid w:val="00DB6C59"/>
    <w:rsid w:val="00DD7A27"/>
    <w:rsid w:val="00DE72CF"/>
    <w:rsid w:val="00E05592"/>
    <w:rsid w:val="00E06B48"/>
    <w:rsid w:val="00E133A2"/>
    <w:rsid w:val="00E4403B"/>
    <w:rsid w:val="00E55CC1"/>
    <w:rsid w:val="00E749BC"/>
    <w:rsid w:val="00E911C4"/>
    <w:rsid w:val="00E97C42"/>
    <w:rsid w:val="00EA6D60"/>
    <w:rsid w:val="00EB0B31"/>
    <w:rsid w:val="00EB6392"/>
    <w:rsid w:val="00EC72D0"/>
    <w:rsid w:val="00F0548E"/>
    <w:rsid w:val="00F26844"/>
    <w:rsid w:val="00F5177C"/>
    <w:rsid w:val="00F656B6"/>
    <w:rsid w:val="00FC31B4"/>
    <w:rsid w:val="00FD4B94"/>
    <w:rsid w:val="00F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A28522-7CCE-4DAA-964E-BB9B71B9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DB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1589"/>
    <w:pPr>
      <w:ind w:left="720"/>
      <w:contextualSpacing/>
    </w:pPr>
  </w:style>
  <w:style w:type="table" w:styleId="TableGrid">
    <w:name w:val="Table Grid"/>
    <w:basedOn w:val="TableNormal"/>
    <w:uiPriority w:val="99"/>
    <w:rsid w:val="00671C9E"/>
    <w:rPr>
      <w:rFonts w:cs="Calibri"/>
      <w:sz w:val="20"/>
      <w:szCs w:val="20"/>
    </w:rPr>
    <w:tblPr>
      <w:tblInd w:w="0" w:type="dxa"/>
      <w:tblBorders>
        <w:top w:val="single" w:sz="4" w:space="0" w:color="0E2B54"/>
        <w:left w:val="single" w:sz="4" w:space="0" w:color="0E2B54"/>
        <w:bottom w:val="single" w:sz="4" w:space="0" w:color="0E2B54"/>
        <w:right w:val="single" w:sz="4" w:space="0" w:color="0E2B54"/>
        <w:insideH w:val="single" w:sz="4" w:space="0" w:color="0E2B54"/>
        <w:insideV w:val="single" w:sz="4" w:space="0" w:color="0E2B5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7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Pravilnika o zajedničkim kriterijumima i standardima za uspostavljanje, funkcionisanje i izveštavanje o sistemu fina</vt:lpstr>
    </vt:vector>
  </TitlesOfParts>
  <Company/>
  <LinksUpToDate>false</LinksUpToDate>
  <CharactersWithSpaces>17963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Pravilnika o zajedničkim kriterijumima i standardima za uspostavljanje, funkcionisanje i izveštavanje o sistemu fina</dc:title>
  <dc:creator>W7</dc:creator>
  <cp:lastModifiedBy>Opština Rača Projekat SPPS</cp:lastModifiedBy>
  <cp:revision>2</cp:revision>
  <cp:lastPrinted>2022-02-14T12:45:00Z</cp:lastPrinted>
  <dcterms:created xsi:type="dcterms:W3CDTF">2022-03-03T18:34:00Z</dcterms:created>
  <dcterms:modified xsi:type="dcterms:W3CDTF">2022-03-03T18:34:00Z</dcterms:modified>
</cp:coreProperties>
</file>