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BF" w:rsidRDefault="001A5B48" w:rsidP="00043999">
      <w:pPr>
        <w:pStyle w:val="BodyText"/>
        <w:spacing w:before="76"/>
        <w:ind w:left="160" w:right="58" w:firstLine="494"/>
        <w:jc w:val="both"/>
      </w:pPr>
      <w:proofErr w:type="gramStart"/>
      <w:r>
        <w:t>На основу члана 15.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12) Закона о локалним изборима („Службени гласник РС”, бр. 129/07, 34/10 – одлука УС, 54/11, 12/20 и 16/20 – аутентично тумачење)</w:t>
      </w:r>
      <w:r w:rsidR="00043999">
        <w:t xml:space="preserve">, </w:t>
      </w:r>
      <w:r>
        <w:t xml:space="preserve">Oпштинска  изборна комисија општине Рача, на седници одржаној 9. </w:t>
      </w:r>
      <w:proofErr w:type="gramStart"/>
      <w:r>
        <w:t>марта</w:t>
      </w:r>
      <w:proofErr w:type="gramEnd"/>
      <w:r>
        <w:t xml:space="preserve"> 2020. </w:t>
      </w:r>
      <w:proofErr w:type="gramStart"/>
      <w:r>
        <w:t>године</w:t>
      </w:r>
      <w:proofErr w:type="gramEnd"/>
      <w:r>
        <w:t>, донела је</w:t>
      </w:r>
    </w:p>
    <w:p w:rsidR="000755BF" w:rsidRDefault="000755BF">
      <w:pPr>
        <w:pStyle w:val="BodyText"/>
        <w:spacing w:before="5"/>
        <w:rPr>
          <w:sz w:val="31"/>
        </w:rPr>
      </w:pPr>
    </w:p>
    <w:p w:rsidR="000755BF" w:rsidRDefault="001A5B48">
      <w:pPr>
        <w:pStyle w:val="Heading1"/>
        <w:ind w:left="1419" w:right="1400"/>
      </w:pPr>
      <w:r>
        <w:t>Р О К О В Н И К</w:t>
      </w:r>
    </w:p>
    <w:p w:rsidR="000755BF" w:rsidRDefault="001A5B48">
      <w:pPr>
        <w:spacing w:before="119"/>
        <w:ind w:left="1422" w:right="1400"/>
        <w:jc w:val="center"/>
        <w:rPr>
          <w:b/>
        </w:rPr>
      </w:pPr>
      <w:proofErr w:type="gramStart"/>
      <w:r>
        <w:rPr>
          <w:b/>
        </w:rPr>
        <w:t>ЗА ВРШЕЊЕ ИЗБОРНИХ РАДЊИ У ПОСТУПКУ СПРОВОЂЕЊА ИЗБОРА ЗА ОДБОРНИКЕ СКУПШТИНЕ ОПШТИНЕ РАЧА, РАСПИСАНИХ ЗА 26.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април</w:t>
      </w:r>
      <w:proofErr w:type="gramEnd"/>
      <w:r>
        <w:rPr>
          <w:b/>
        </w:rPr>
        <w:t xml:space="preserve"> 2020. ГОДИНЕ</w:t>
      </w:r>
    </w:p>
    <w:p w:rsidR="000755BF" w:rsidRDefault="000755BF">
      <w:pPr>
        <w:pStyle w:val="BodyText"/>
        <w:spacing w:before="3"/>
        <w:rPr>
          <w:b/>
          <w:sz w:val="31"/>
        </w:rPr>
      </w:pPr>
    </w:p>
    <w:p w:rsidR="000755BF" w:rsidRDefault="001A5B48">
      <w:pPr>
        <w:pStyle w:val="ListParagraph"/>
        <w:numPr>
          <w:ilvl w:val="0"/>
          <w:numId w:val="2"/>
        </w:numPr>
        <w:tabs>
          <w:tab w:val="left" w:pos="1430"/>
        </w:tabs>
        <w:spacing w:before="1"/>
        <w:ind w:right="138" w:firstLine="992"/>
        <w:jc w:val="both"/>
      </w:pPr>
      <w:r>
        <w:t>Рокови за вршење изборних радњи у поступку спровођења избора за одборнике Скупштине општине Рача утврђени</w:t>
      </w:r>
      <w:r>
        <w:rPr>
          <w:spacing w:val="-4"/>
        </w:rPr>
        <w:t xml:space="preserve"> </w:t>
      </w:r>
      <w:r>
        <w:t>су:</w:t>
      </w:r>
    </w:p>
    <w:p w:rsidR="000755BF" w:rsidRDefault="001A5B48">
      <w:pPr>
        <w:pStyle w:val="ListParagraph"/>
        <w:numPr>
          <w:ilvl w:val="0"/>
          <w:numId w:val="1"/>
        </w:numPr>
        <w:tabs>
          <w:tab w:val="left" w:pos="1352"/>
        </w:tabs>
        <w:ind w:right="139" w:firstLine="992"/>
      </w:pPr>
      <w:r>
        <w:t>Законом о локалним изборима („Службени гласник РС”, бр. 129/07, 34/10 – одлука УС, 54/11, 12/20 и 16/20 – аутентично</w:t>
      </w:r>
      <w:r>
        <w:rPr>
          <w:spacing w:val="-3"/>
        </w:rPr>
        <w:t xml:space="preserve"> </w:t>
      </w:r>
      <w:r>
        <w:t>тумачење)</w:t>
      </w:r>
    </w:p>
    <w:p w:rsidR="000755BF" w:rsidRDefault="001A5B48">
      <w:pPr>
        <w:pStyle w:val="ListParagraph"/>
        <w:numPr>
          <w:ilvl w:val="0"/>
          <w:numId w:val="1"/>
        </w:numPr>
        <w:tabs>
          <w:tab w:val="left" w:pos="1364"/>
        </w:tabs>
        <w:spacing w:before="121"/>
        <w:ind w:right="136" w:firstLine="992"/>
      </w:pPr>
      <w:r>
        <w:t>Законом о избору народних посланика(„Службени гласник РС”, бр. 35/00, 57/03 – одлука УС, 72/03 – др. закон, 18/04, 85/05 – др. закон, 101/05 – др. закон, 104/09 – др. закон, 28/11 – одлука УС, 36/11 и</w:t>
      </w:r>
      <w:r>
        <w:rPr>
          <w:spacing w:val="-2"/>
        </w:rPr>
        <w:t xml:space="preserve"> </w:t>
      </w:r>
      <w:r>
        <w:t>12/20),</w:t>
      </w:r>
    </w:p>
    <w:p w:rsidR="000755BF" w:rsidRDefault="001A5B48">
      <w:pPr>
        <w:pStyle w:val="ListParagraph"/>
        <w:numPr>
          <w:ilvl w:val="0"/>
          <w:numId w:val="1"/>
        </w:numPr>
        <w:tabs>
          <w:tab w:val="left" w:pos="1376"/>
        </w:tabs>
        <w:ind w:left="1375" w:hanging="224"/>
      </w:pPr>
      <w:r>
        <w:t>Законом о јединственом бирачком списку („Службени гласник РС”, бр. 104/09</w:t>
      </w:r>
      <w:r>
        <w:rPr>
          <w:spacing w:val="54"/>
        </w:rPr>
        <w:t xml:space="preserve"> </w:t>
      </w:r>
      <w:r>
        <w:t>и</w:t>
      </w:r>
    </w:p>
    <w:p w:rsidR="000755BF" w:rsidRDefault="001A5B48">
      <w:pPr>
        <w:pStyle w:val="BodyText"/>
        <w:spacing w:before="1"/>
        <w:ind w:left="159"/>
      </w:pPr>
      <w:r>
        <w:t>99/11),</w:t>
      </w:r>
    </w:p>
    <w:p w:rsidR="000755BF" w:rsidRDefault="001A5B48">
      <w:pPr>
        <w:pStyle w:val="ListParagraph"/>
        <w:numPr>
          <w:ilvl w:val="0"/>
          <w:numId w:val="2"/>
        </w:numPr>
        <w:tabs>
          <w:tab w:val="left" w:pos="1388"/>
        </w:tabs>
        <w:spacing w:before="120"/>
        <w:ind w:left="1387" w:hanging="236"/>
      </w:pPr>
      <w:r>
        <w:t>Одлука о расписивању избора за одборнике Скупштине општине Рача ступила</w:t>
      </w:r>
      <w:r>
        <w:rPr>
          <w:spacing w:val="17"/>
        </w:rPr>
        <w:t xml:space="preserve"> </w:t>
      </w:r>
      <w:r>
        <w:t>је</w:t>
      </w:r>
    </w:p>
    <w:p w:rsidR="000755BF" w:rsidRDefault="001A5B48">
      <w:pPr>
        <w:pStyle w:val="BodyText"/>
        <w:ind w:left="159"/>
      </w:pPr>
      <w:proofErr w:type="gramStart"/>
      <w:r>
        <w:t>на</w:t>
      </w:r>
      <w:proofErr w:type="gramEnd"/>
      <w:r>
        <w:t xml:space="preserve"> снагу 04.03.2020.године.</w:t>
      </w:r>
    </w:p>
    <w:p w:rsidR="000755BF" w:rsidRDefault="001A5B48">
      <w:pPr>
        <w:pStyle w:val="BodyText"/>
        <w:spacing w:before="121"/>
        <w:ind w:left="159" w:right="58" w:firstLine="992"/>
      </w:pPr>
      <w:proofErr w:type="gramStart"/>
      <w:r>
        <w:t>Одлуком је одређено да рокови за вршење изборних радњи почињу да теку од дана ступања на снагу ове одлуке, односно од 04.03.2020.</w:t>
      </w:r>
      <w:proofErr w:type="gramEnd"/>
      <w:r>
        <w:t xml:space="preserve"> </w:t>
      </w:r>
      <w:proofErr w:type="gramStart"/>
      <w:r>
        <w:t>године</w:t>
      </w:r>
      <w:proofErr w:type="gramEnd"/>
    </w:p>
    <w:p w:rsidR="000755BF" w:rsidRDefault="000755BF">
      <w:pPr>
        <w:pStyle w:val="BodyText"/>
        <w:spacing w:before="10"/>
        <w:rPr>
          <w:sz w:val="20"/>
        </w:rPr>
      </w:pPr>
    </w:p>
    <w:p w:rsidR="000755BF" w:rsidRDefault="001A5B48">
      <w:pPr>
        <w:pStyle w:val="ListParagraph"/>
        <w:numPr>
          <w:ilvl w:val="0"/>
          <w:numId w:val="2"/>
        </w:numPr>
        <w:tabs>
          <w:tab w:val="left" w:pos="1373"/>
        </w:tabs>
        <w:spacing w:before="0"/>
        <w:ind w:left="1372" w:hanging="221"/>
      </w:pPr>
      <w:r>
        <w:t>Према прописима из тачке 1. овог роковника, рокови су</w:t>
      </w:r>
      <w:r>
        <w:rPr>
          <w:spacing w:val="-2"/>
        </w:rPr>
        <w:t xml:space="preserve"> </w:t>
      </w:r>
      <w:r>
        <w:t>следећи:</w:t>
      </w:r>
    </w:p>
    <w:p w:rsidR="000755BF" w:rsidRDefault="000755BF">
      <w:pPr>
        <w:pStyle w:val="BodyText"/>
        <w:spacing w:before="1"/>
        <w:rPr>
          <w:sz w:val="21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5812"/>
        <w:gridCol w:w="2855"/>
      </w:tblGrid>
      <w:tr w:rsidR="000755BF">
        <w:trPr>
          <w:trHeight w:val="535"/>
        </w:trPr>
        <w:tc>
          <w:tcPr>
            <w:tcW w:w="755" w:type="dxa"/>
            <w:shd w:val="clear" w:color="auto" w:fill="D9D9D9"/>
          </w:tcPr>
          <w:p w:rsidR="000755BF" w:rsidRDefault="001A5B48">
            <w:pPr>
              <w:pStyle w:val="TableParagraph"/>
              <w:spacing w:before="16" w:line="252" w:lineRule="exact"/>
              <w:ind w:left="195" w:hanging="87"/>
            </w:pPr>
            <w:r>
              <w:rPr>
                <w:w w:val="95"/>
              </w:rPr>
              <w:t xml:space="preserve">Редни </w:t>
            </w:r>
            <w:r>
              <w:t>број</w:t>
            </w:r>
          </w:p>
        </w:tc>
        <w:tc>
          <w:tcPr>
            <w:tcW w:w="5812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2604" w:right="2564"/>
              <w:jc w:val="center"/>
            </w:pPr>
            <w:r>
              <w:t>Радња</w:t>
            </w:r>
          </w:p>
        </w:tc>
        <w:tc>
          <w:tcPr>
            <w:tcW w:w="2855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1250" w:right="1209"/>
              <w:jc w:val="center"/>
            </w:pPr>
            <w:r>
              <w:t>Рок</w:t>
            </w:r>
          </w:p>
        </w:tc>
      </w:tr>
      <w:tr w:rsidR="000755BF">
        <w:trPr>
          <w:trHeight w:val="522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4182"/>
              <w:rPr>
                <w:b/>
              </w:rPr>
            </w:pPr>
            <w:r>
              <w:rPr>
                <w:b/>
              </w:rPr>
              <w:t>1. Обрасци</w:t>
            </w:r>
          </w:p>
        </w:tc>
      </w:tr>
      <w:tr w:rsidR="000755BF">
        <w:trPr>
          <w:trHeight w:val="140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5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1.1.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395"/>
            </w:pPr>
            <w:r>
              <w:t>Прописивање образаца за спровођење изборних радњи и стављање на располагање јавности</w:t>
            </w:r>
          </w:p>
          <w:p w:rsidR="000755BF" w:rsidRDefault="001A5B48">
            <w:pPr>
              <w:pStyle w:val="TableParagraph"/>
              <w:spacing w:before="121"/>
              <w:ind w:left="43" w:right="105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15. став 1. тачка 5 и члан 23. став 1. Закон о локалним изборима 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44" w:right="281"/>
            </w:pPr>
            <w:r>
              <w:t>у року од три дана од дана расписивања избора</w:t>
            </w:r>
          </w:p>
        </w:tc>
      </w:tr>
      <w:tr w:rsidR="000755BF">
        <w:trPr>
          <w:trHeight w:val="522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3132"/>
              <w:rPr>
                <w:b/>
              </w:rPr>
            </w:pPr>
            <w:r>
              <w:rPr>
                <w:b/>
              </w:rPr>
              <w:t>2. Органи за спровођење избора</w:t>
            </w:r>
          </w:p>
        </w:tc>
      </w:tr>
      <w:tr w:rsidR="000755BF">
        <w:trPr>
          <w:trHeight w:val="165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46"/>
              <w:ind w:left="206" w:right="162"/>
              <w:jc w:val="center"/>
            </w:pPr>
            <w:r>
              <w:t>2.1.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20"/>
            </w:pPr>
            <w:r>
              <w:t>Доношење решења о испуњавању или неиспуњавању услова за одређивање опуномоћених представника подносиоца изборне листе у проширени састав органа за спровођење избора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14. став 6. Закон о локалним изборима)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5"/>
              </w:rPr>
            </w:pPr>
          </w:p>
          <w:p w:rsidR="000755BF" w:rsidRDefault="001A5B48">
            <w:pPr>
              <w:pStyle w:val="TableParagraph"/>
              <w:ind w:left="44" w:right="591"/>
            </w:pPr>
            <w:r>
              <w:t>Приликом проглашења изборне листе</w:t>
            </w:r>
          </w:p>
        </w:tc>
      </w:tr>
      <w:tr w:rsidR="000755BF">
        <w:trPr>
          <w:trHeight w:val="1029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  <w:rPr>
                <w:sz w:val="3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2.2.</w:t>
            </w:r>
          </w:p>
        </w:tc>
        <w:tc>
          <w:tcPr>
            <w:tcW w:w="5812" w:type="dxa"/>
          </w:tcPr>
          <w:p w:rsidR="000755BF" w:rsidRDefault="001A5B48" w:rsidP="00043999">
            <w:pPr>
              <w:pStyle w:val="TableParagraph"/>
              <w:spacing w:before="133"/>
              <w:ind w:left="43" w:right="136"/>
            </w:pPr>
            <w:r>
              <w:t xml:space="preserve">Доношење решења о именовању овлашћених представника подносиоца изборне листе у проширени састав </w:t>
            </w:r>
            <w:r w:rsidR="00043999">
              <w:t>Oпштинске</w:t>
            </w:r>
            <w:r>
              <w:t xml:space="preserve"> изборне комисије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133"/>
            </w:pPr>
            <w:r>
              <w:t>Крајњи рок за подношење обавештења о предложеним члановима за проширени</w:t>
            </w:r>
          </w:p>
        </w:tc>
      </w:tr>
    </w:tbl>
    <w:p w:rsidR="000755BF" w:rsidRDefault="000755BF">
      <w:pPr>
        <w:sectPr w:rsidR="000755BF">
          <w:type w:val="continuous"/>
          <w:pgSz w:w="12240" w:h="15840"/>
          <w:pgMar w:top="640" w:right="1300" w:bottom="280" w:left="12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5812"/>
        <w:gridCol w:w="2855"/>
      </w:tblGrid>
      <w:tr w:rsidR="000755BF">
        <w:trPr>
          <w:trHeight w:val="535"/>
        </w:trPr>
        <w:tc>
          <w:tcPr>
            <w:tcW w:w="755" w:type="dxa"/>
            <w:shd w:val="clear" w:color="auto" w:fill="D9D9D9"/>
          </w:tcPr>
          <w:p w:rsidR="000755BF" w:rsidRDefault="001A5B48">
            <w:pPr>
              <w:pStyle w:val="TableParagraph"/>
              <w:spacing w:before="12" w:line="250" w:lineRule="atLeast"/>
              <w:ind w:left="195" w:hanging="87"/>
            </w:pPr>
            <w:r>
              <w:rPr>
                <w:w w:val="95"/>
              </w:rPr>
              <w:lastRenderedPageBreak/>
              <w:t xml:space="preserve">Редни </w:t>
            </w:r>
            <w:r>
              <w:t>број</w:t>
            </w:r>
          </w:p>
        </w:tc>
        <w:tc>
          <w:tcPr>
            <w:tcW w:w="5812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2604" w:right="2564"/>
              <w:jc w:val="center"/>
            </w:pPr>
            <w:r>
              <w:t>Радња</w:t>
            </w:r>
          </w:p>
        </w:tc>
        <w:tc>
          <w:tcPr>
            <w:tcW w:w="2855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1250" w:right="1209"/>
              <w:jc w:val="center"/>
            </w:pPr>
            <w:r>
              <w:t>Рок</w:t>
            </w:r>
          </w:p>
        </w:tc>
      </w:tr>
      <w:tr w:rsidR="000755BF">
        <w:trPr>
          <w:trHeight w:val="65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14. ст. 9. </w:t>
            </w:r>
            <w:proofErr w:type="gramStart"/>
            <w:r>
              <w:t>и</w:t>
            </w:r>
            <w:proofErr w:type="gramEnd"/>
            <w:r>
              <w:t xml:space="preserve"> 10. Закон о локалним изборима)</w:t>
            </w:r>
          </w:p>
        </w:tc>
        <w:tc>
          <w:tcPr>
            <w:tcW w:w="2855" w:type="dxa"/>
          </w:tcPr>
          <w:p w:rsidR="000755BF" w:rsidRDefault="00043999">
            <w:pPr>
              <w:pStyle w:val="TableParagraph"/>
              <w:spacing w:before="12"/>
              <w:ind w:left="44" w:right="104" w:hanging="2"/>
            </w:pPr>
            <w:r>
              <w:t>састав О</w:t>
            </w:r>
            <w:r w:rsidR="001A5B48">
              <w:t>ИК-а је 20.04.2020 у 24,оо</w:t>
            </w:r>
          </w:p>
        </w:tc>
      </w:tr>
      <w:tr w:rsidR="000755BF">
        <w:trPr>
          <w:trHeight w:val="523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3885"/>
              <w:rPr>
                <w:b/>
              </w:rPr>
            </w:pPr>
            <w:r>
              <w:rPr>
                <w:b/>
              </w:rPr>
              <w:t>3. Изборна листа</w:t>
            </w:r>
          </w:p>
        </w:tc>
      </w:tr>
      <w:tr w:rsidR="000755BF">
        <w:trPr>
          <w:trHeight w:val="1029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  <w:rPr>
                <w:sz w:val="3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3.1.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/>
            </w:pPr>
            <w:r>
              <w:t>Подношење изборне листе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19. став 1. Закон о локалним изборима)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143"/>
            </w:pPr>
            <w:r>
              <w:t>најкасније 15 дана пре одржавања избора (односно до 10.04.2020. у 24,оо)</w:t>
            </w:r>
          </w:p>
        </w:tc>
      </w:tr>
      <w:tr w:rsidR="000755BF">
        <w:trPr>
          <w:trHeight w:val="1029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  <w:rPr>
                <w:sz w:val="3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3.2.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/>
            </w:pPr>
            <w:r>
              <w:t>Проглашење изборне листе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24. став 1. Закон о локалним изборима 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229"/>
            </w:pPr>
            <w:r>
              <w:t>у року од 24 часа од часа пријема изборне листе, ако испуњава услове</w:t>
            </w:r>
          </w:p>
        </w:tc>
      </w:tr>
      <w:tr w:rsidR="000755BF">
        <w:trPr>
          <w:trHeight w:val="895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8"/>
              <w:rPr>
                <w:sz w:val="27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3.3.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/>
            </w:pPr>
            <w:r>
              <w:t>Повлачење изборне листе</w:t>
            </w:r>
          </w:p>
          <w:p w:rsidR="000755BF" w:rsidRDefault="001A5B48">
            <w:pPr>
              <w:pStyle w:val="TableParagraph"/>
              <w:spacing w:before="119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21. став 1. Закон о локалним изборима)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219"/>
            </w:pPr>
            <w:r>
              <w:t>до дана утврђивања збирне изборне листе</w:t>
            </w:r>
          </w:p>
        </w:tc>
      </w:tr>
      <w:tr w:rsidR="000755BF">
        <w:trPr>
          <w:trHeight w:val="1148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206" w:right="162"/>
              <w:jc w:val="center"/>
            </w:pPr>
            <w:r>
              <w:t>3.4.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894"/>
            </w:pPr>
            <w:r>
              <w:t>Утврђивање и објављивање збирне изборне листе у градском службеном гласилу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26. став 3. Закон о локалним изборима)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-12"/>
            </w:pPr>
            <w:proofErr w:type="gramStart"/>
            <w:r>
              <w:t>најкасније</w:t>
            </w:r>
            <w:proofErr w:type="gramEnd"/>
            <w:r>
              <w:t xml:space="preserve"> десет дана пре одржавања избора, односно најкасније 15.04.2020. у 24,оо</w:t>
            </w:r>
          </w:p>
        </w:tc>
      </w:tr>
      <w:tr w:rsidR="000755BF">
        <w:trPr>
          <w:trHeight w:val="1028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  <w:rPr>
                <w:sz w:val="3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3.5.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/>
            </w:pPr>
            <w:r>
              <w:t>Право увида у поднете изборне листе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26. став 4. Закон о локалним изборима 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51"/>
            </w:pPr>
            <w:r>
              <w:t>у року од 48 часова од дана објављивања збирне изборне листе</w:t>
            </w:r>
          </w:p>
        </w:tc>
      </w:tr>
      <w:tr w:rsidR="000755BF">
        <w:trPr>
          <w:trHeight w:val="522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3873"/>
              <w:rPr>
                <w:b/>
              </w:rPr>
            </w:pPr>
            <w:r>
              <w:rPr>
                <w:b/>
              </w:rPr>
              <w:t>4. Бирачка места</w:t>
            </w:r>
          </w:p>
        </w:tc>
      </w:tr>
      <w:tr w:rsidR="000755BF">
        <w:trPr>
          <w:trHeight w:val="1149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206" w:right="162"/>
              <w:jc w:val="center"/>
            </w:pPr>
            <w:r>
              <w:rPr>
                <w:shd w:val="clear" w:color="auto" w:fill="C0C0C0"/>
              </w:rPr>
              <w:t>4.1.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/>
            </w:pPr>
            <w:r>
              <w:t>Одређивање и објављивање бирачких места</w:t>
            </w:r>
          </w:p>
          <w:p w:rsidR="000755BF" w:rsidRDefault="001A5B48">
            <w:pPr>
              <w:pStyle w:val="TableParagraph"/>
              <w:spacing w:before="121"/>
              <w:ind w:left="43" w:right="108"/>
            </w:pPr>
            <w:r>
              <w:t>(</w:t>
            </w:r>
            <w:proofErr w:type="gramStart"/>
            <w:r>
              <w:t>сходно</w:t>
            </w:r>
            <w:proofErr w:type="gramEnd"/>
            <w:r>
              <w:t xml:space="preserve"> члану 34. став 1. тачка 7. Закона о избору народних посланика)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3"/>
              <w:ind w:left="44" w:right="187"/>
            </w:pPr>
            <w:proofErr w:type="gramStart"/>
            <w:r>
              <w:t>најкасније</w:t>
            </w:r>
            <w:proofErr w:type="gramEnd"/>
            <w:r>
              <w:t xml:space="preserve"> 20 дана пре дана избора односно најкасније 5.04.2020. у 24,оо)</w:t>
            </w:r>
          </w:p>
        </w:tc>
      </w:tr>
      <w:tr w:rsidR="000755BF">
        <w:trPr>
          <w:trHeight w:val="140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5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rPr>
                <w:shd w:val="clear" w:color="auto" w:fill="C0C0C0"/>
              </w:rPr>
              <w:t>4.2.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1153"/>
            </w:pPr>
            <w:r>
              <w:t>Разврставање бирача на бирачка места од стране општинске управе</w:t>
            </w:r>
          </w:p>
          <w:p w:rsidR="000755BF" w:rsidRDefault="001A5B48">
            <w:pPr>
              <w:pStyle w:val="TableParagraph"/>
              <w:spacing w:before="121"/>
              <w:ind w:left="43" w:right="956"/>
            </w:pPr>
            <w:r>
              <w:t>(</w:t>
            </w:r>
            <w:proofErr w:type="gramStart"/>
            <w:r>
              <w:t>тачка</w:t>
            </w:r>
            <w:proofErr w:type="gramEnd"/>
            <w:r>
              <w:t xml:space="preserve"> 12. став 6. Упутства за спровођење Закона о јединственом бирачком списку)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101"/>
            </w:pPr>
            <w:r>
              <w:t xml:space="preserve">до закључења бирачког </w:t>
            </w:r>
            <w:r>
              <w:rPr>
                <w:u w:val="single"/>
              </w:rPr>
              <w:t>списка, односно до 15 дана</w:t>
            </w:r>
            <w:r>
              <w:t xml:space="preserve"> </w:t>
            </w:r>
            <w:r>
              <w:rPr>
                <w:u w:val="single"/>
              </w:rPr>
              <w:t>пре дана избора</w:t>
            </w:r>
            <w:r>
              <w:t xml:space="preserve"> (односно до 10.04.2020. у 24,оо)</w:t>
            </w:r>
          </w:p>
        </w:tc>
      </w:tr>
      <w:tr w:rsidR="000755BF">
        <w:trPr>
          <w:trHeight w:val="1400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5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rPr>
                <w:shd w:val="clear" w:color="auto" w:fill="C0C0C0"/>
              </w:rPr>
              <w:t>4.3.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737"/>
            </w:pPr>
            <w:r>
              <w:t>Разврставање бирача на бирачка места од стране Министарства државне управе и локалне самоуправе</w:t>
            </w:r>
          </w:p>
          <w:p w:rsidR="000755BF" w:rsidRDefault="001A5B48">
            <w:pPr>
              <w:pStyle w:val="TableParagraph"/>
              <w:spacing w:before="120"/>
              <w:ind w:left="43" w:right="956"/>
            </w:pPr>
            <w:r>
              <w:t>(</w:t>
            </w:r>
            <w:proofErr w:type="gramStart"/>
            <w:r>
              <w:t>тачка</w:t>
            </w:r>
            <w:proofErr w:type="gramEnd"/>
            <w:r>
              <w:t xml:space="preserve"> 12. став 7. Упутства за спровођење Закона о јединственом бирачком списку)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101"/>
            </w:pPr>
            <w:r>
              <w:t>од закључења бирачког списка, односно од 15 дана пре дана избора (односно до 11.04.2020. у 24,оо)</w:t>
            </w:r>
          </w:p>
        </w:tc>
      </w:tr>
      <w:tr w:rsidR="000755BF">
        <w:trPr>
          <w:trHeight w:val="523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3171"/>
              <w:rPr>
                <w:b/>
              </w:rPr>
            </w:pPr>
            <w:r>
              <w:rPr>
                <w:b/>
              </w:rPr>
              <w:t>5. Јединствени бирачки списак</w:t>
            </w:r>
          </w:p>
        </w:tc>
      </w:tr>
      <w:tr w:rsidR="000755BF">
        <w:trPr>
          <w:trHeight w:val="1654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46"/>
              <w:ind w:left="206" w:right="162"/>
              <w:jc w:val="center"/>
            </w:pPr>
            <w:r>
              <w:t>5.1.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1376"/>
            </w:pPr>
            <w:r>
              <w:t>Излагање бирачког списка за подручје града и обавештавање грађана о томе</w:t>
            </w:r>
          </w:p>
          <w:p w:rsidR="000755BF" w:rsidRDefault="001A5B48">
            <w:pPr>
              <w:pStyle w:val="TableParagraph"/>
              <w:spacing w:before="120"/>
              <w:ind w:left="43" w:right="78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14. Закона о јединственом бирачком списку – ЗоЈБС и тачка 10. Упутства за спровођење Закона о јединственом бирачком списку)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70"/>
              <w:ind w:left="44" w:right="-13"/>
            </w:pPr>
            <w:proofErr w:type="gramStart"/>
            <w:r>
              <w:t>од</w:t>
            </w:r>
            <w:proofErr w:type="gramEnd"/>
            <w:r>
              <w:t xml:space="preserve"> наредног дана од дана расписивања избора, односно од 05.03.2020. </w:t>
            </w:r>
            <w:proofErr w:type="gramStart"/>
            <w:r>
              <w:t>године</w:t>
            </w:r>
            <w:proofErr w:type="gramEnd"/>
            <w:r>
              <w:t>.</w:t>
            </w:r>
          </w:p>
        </w:tc>
      </w:tr>
      <w:tr w:rsidR="000755BF">
        <w:trPr>
          <w:trHeight w:val="657"/>
        </w:trPr>
        <w:tc>
          <w:tcPr>
            <w:tcW w:w="755" w:type="dxa"/>
          </w:tcPr>
          <w:p w:rsidR="000755BF" w:rsidRDefault="001A5B48">
            <w:pPr>
              <w:pStyle w:val="TableParagraph"/>
              <w:spacing w:before="198"/>
              <w:ind w:left="206" w:right="162"/>
              <w:jc w:val="center"/>
            </w:pPr>
            <w:r>
              <w:t>5.2.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spacing w:before="5"/>
            </w:pPr>
          </w:p>
          <w:p w:rsidR="000755BF" w:rsidRDefault="001A5B48" w:rsidP="00043999">
            <w:pPr>
              <w:pStyle w:val="TableParagraph"/>
              <w:ind w:left="43"/>
            </w:pPr>
            <w:r>
              <w:t xml:space="preserve">Захтев </w:t>
            </w:r>
            <w:r w:rsidR="00043999">
              <w:t>општинској</w:t>
            </w:r>
            <w:r>
              <w:t xml:space="preserve"> управи за доношење решења о упису у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2" w:line="250" w:lineRule="atLeast"/>
              <w:ind w:left="44" w:right="175"/>
            </w:pPr>
            <w:r>
              <w:t>до закључења бирачког списка, односно15 дана пре</w:t>
            </w:r>
          </w:p>
        </w:tc>
      </w:tr>
    </w:tbl>
    <w:p w:rsidR="000755BF" w:rsidRDefault="00EE04FB">
      <w:pPr>
        <w:rPr>
          <w:sz w:val="2"/>
          <w:szCs w:val="2"/>
        </w:rPr>
      </w:pPr>
      <w:r w:rsidRPr="00EE04FB">
        <w:pict>
          <v:line id="_x0000_s1028" style="position:absolute;z-index:251658240;mso-position-horizontal-relative:page;mso-position-vertical-relative:page" from="63.35pt,689.4pt" to="63.35pt,702.05pt" strokeweight=".72pt">
            <w10:wrap anchorx="page" anchory="page"/>
          </v:line>
        </w:pict>
      </w:r>
    </w:p>
    <w:p w:rsidR="000755BF" w:rsidRDefault="000755BF">
      <w:pPr>
        <w:rPr>
          <w:sz w:val="2"/>
          <w:szCs w:val="2"/>
        </w:rPr>
        <w:sectPr w:rsidR="000755BF">
          <w:pgSz w:w="12240" w:h="15840"/>
          <w:pgMar w:top="720" w:right="1300" w:bottom="280" w:left="12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5812"/>
        <w:gridCol w:w="2855"/>
      </w:tblGrid>
      <w:tr w:rsidR="000755BF">
        <w:trPr>
          <w:trHeight w:val="535"/>
        </w:trPr>
        <w:tc>
          <w:tcPr>
            <w:tcW w:w="755" w:type="dxa"/>
            <w:shd w:val="clear" w:color="auto" w:fill="D9D9D9"/>
          </w:tcPr>
          <w:p w:rsidR="000755BF" w:rsidRDefault="001A5B48">
            <w:pPr>
              <w:pStyle w:val="TableParagraph"/>
              <w:spacing w:before="12" w:line="250" w:lineRule="atLeast"/>
              <w:ind w:left="195" w:hanging="87"/>
            </w:pPr>
            <w:r>
              <w:rPr>
                <w:w w:val="95"/>
              </w:rPr>
              <w:lastRenderedPageBreak/>
              <w:t xml:space="preserve">Редни </w:t>
            </w:r>
            <w:r>
              <w:t>број</w:t>
            </w:r>
          </w:p>
        </w:tc>
        <w:tc>
          <w:tcPr>
            <w:tcW w:w="5812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2604" w:right="2564"/>
              <w:jc w:val="center"/>
            </w:pPr>
            <w:r>
              <w:t>Радња</w:t>
            </w:r>
          </w:p>
        </w:tc>
        <w:tc>
          <w:tcPr>
            <w:tcW w:w="2855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1250" w:right="1209"/>
              <w:jc w:val="center"/>
            </w:pPr>
            <w:r>
              <w:t>Рок</w:t>
            </w:r>
          </w:p>
        </w:tc>
      </w:tr>
      <w:tr w:rsidR="000755BF">
        <w:trPr>
          <w:trHeight w:val="77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/>
              <w:ind w:left="43"/>
            </w:pPr>
            <w:r>
              <w:t>бирачки списак односно о промени у бирачком списку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14. став 1. Закона о јединсвеном бирачком списку)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2"/>
              <w:ind w:left="44" w:right="323"/>
            </w:pPr>
            <w:r>
              <w:t>дана избора (10.04.2020. у 24,оо часова)</w:t>
            </w:r>
          </w:p>
        </w:tc>
      </w:tr>
      <w:tr w:rsidR="000755BF">
        <w:trPr>
          <w:trHeight w:val="165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46"/>
              <w:ind w:left="206" w:right="162"/>
              <w:jc w:val="center"/>
            </w:pPr>
            <w:r>
              <w:t>5.3.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556"/>
            </w:pPr>
            <w:r>
              <w:t>Доношење решења о упису или променама у бирачком списку по закључењу бирачког списка од стране Министарства државне управе и локалне самоуправе</w:t>
            </w:r>
          </w:p>
          <w:p w:rsidR="000755BF" w:rsidRDefault="001A5B48">
            <w:pPr>
              <w:pStyle w:val="TableParagraph"/>
              <w:spacing w:before="121"/>
              <w:ind w:left="43" w:right="47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10. став 1. и члан 20. став 1. Закона о јединсвеном бирачком списку)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spacing w:before="8"/>
              <w:rPr>
                <w:sz w:val="27"/>
              </w:rPr>
            </w:pPr>
          </w:p>
          <w:p w:rsidR="000755BF" w:rsidRDefault="001A5B48">
            <w:pPr>
              <w:pStyle w:val="TableParagraph"/>
              <w:ind w:left="44" w:right="133"/>
            </w:pPr>
            <w:r>
              <w:t>од закључења бирачког списка до 72 часа пре дана избора ( односно од 11. до 22 априла 2020. у 24,оо)</w:t>
            </w:r>
          </w:p>
        </w:tc>
      </w:tr>
      <w:tr w:rsidR="000755BF">
        <w:trPr>
          <w:trHeight w:val="1907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5.4.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283"/>
              <w:jc w:val="both"/>
            </w:pPr>
            <w:r>
              <w:t>Право увида и подношења захтева за промене у бирачком списку од стране подносиоца изборне листе или лица које он за то овласти</w:t>
            </w:r>
          </w:p>
          <w:p w:rsidR="000755BF" w:rsidRDefault="001A5B48">
            <w:pPr>
              <w:pStyle w:val="TableParagraph"/>
              <w:spacing w:before="120"/>
              <w:ind w:left="43" w:right="189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21. Закона о јединсвеном бирачком списку и тачка 5. Упутства за спровођење Закона о јединственом бирачком списку)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46"/>
              <w:ind w:left="44" w:right="532"/>
            </w:pPr>
            <w:r>
              <w:t>од проглашења изборне листе</w:t>
            </w:r>
          </w:p>
        </w:tc>
      </w:tr>
      <w:tr w:rsidR="000755BF">
        <w:trPr>
          <w:trHeight w:val="140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8"/>
              <w:rPr>
                <w:sz w:val="25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5.5.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206"/>
            </w:pPr>
            <w:r>
              <w:t>Доношење решења о закључењу бирачког списка и утврђивању укупног броја бирача од стране Министарства државне управе и локалне самоуправе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17. став 1. Закона о јединсвеном бирачком списку 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spacing w:before="8"/>
              <w:rPr>
                <w:sz w:val="27"/>
              </w:rPr>
            </w:pPr>
          </w:p>
          <w:p w:rsidR="000755BF" w:rsidRDefault="001A5B48">
            <w:pPr>
              <w:pStyle w:val="TableParagraph"/>
              <w:ind w:left="44" w:right="397"/>
            </w:pPr>
            <w:r>
              <w:t>15 дана пре дана избора, (односно 10.априла 2020. год. у 24,оо)</w:t>
            </w:r>
          </w:p>
        </w:tc>
      </w:tr>
      <w:tr w:rsidR="000755BF">
        <w:trPr>
          <w:trHeight w:val="1148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206" w:right="162"/>
              <w:jc w:val="center"/>
            </w:pPr>
            <w:r>
              <w:t>5.6.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216"/>
            </w:pPr>
            <w:r>
              <w:t>Објављивање укупног броја бирача у градском службеном гласилу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18. Закона о јединсвеном бирачком списку)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spacing w:before="8"/>
              <w:rPr>
                <w:sz w:val="27"/>
              </w:rPr>
            </w:pPr>
          </w:p>
          <w:p w:rsidR="000755BF" w:rsidRDefault="001A5B48">
            <w:pPr>
              <w:pStyle w:val="TableParagraph"/>
              <w:ind w:left="44" w:right="38"/>
            </w:pPr>
            <w:r>
              <w:t>одмах по добијању решења о закључењу бирачког списка</w:t>
            </w:r>
          </w:p>
        </w:tc>
      </w:tr>
      <w:tr w:rsidR="000755BF">
        <w:trPr>
          <w:trHeight w:val="153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31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5.7.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spacing w:before="3"/>
              <w:rPr>
                <w:sz w:val="28"/>
              </w:rPr>
            </w:pPr>
          </w:p>
          <w:p w:rsidR="000755BF" w:rsidRDefault="001A5B48">
            <w:pPr>
              <w:pStyle w:val="TableParagraph"/>
              <w:spacing w:before="1"/>
              <w:ind w:left="43" w:right="20"/>
            </w:pPr>
            <w:r>
              <w:t>Достављање Општинској  изборној комисији оверених извода из бирачког списка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19. став 1. Закона о јединсвеном бирачком списку)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81"/>
            </w:pPr>
            <w:r>
              <w:t>у року од 48 часова од доношења решења о закључењу бирачког списка, (односно најкасније 12. априла 2020. год. у 24,оо)</w:t>
            </w:r>
          </w:p>
        </w:tc>
      </w:tr>
      <w:tr w:rsidR="000755BF">
        <w:trPr>
          <w:trHeight w:val="1281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20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5.8.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 w:right="5"/>
            </w:pPr>
            <w:r>
              <w:t>Пријем у Општинској  изборној комисији решења о променама у бирачком списку по закључењу бирачког списка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20. став 2. Закона о јединсвеном бирачком списку 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88"/>
            </w:pPr>
            <w:r>
              <w:t>до 48 часова пре дана одржавања избора, (односно до 23. априла 2020. год, у 24,оо)</w:t>
            </w:r>
          </w:p>
        </w:tc>
      </w:tr>
      <w:tr w:rsidR="000755BF">
        <w:trPr>
          <w:trHeight w:val="1535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31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5.9.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spacing w:before="3"/>
              <w:rPr>
                <w:sz w:val="28"/>
              </w:rPr>
            </w:pPr>
          </w:p>
          <w:p w:rsidR="000755BF" w:rsidRDefault="001A5B48">
            <w:pPr>
              <w:pStyle w:val="TableParagraph"/>
              <w:spacing w:before="1"/>
              <w:ind w:left="43" w:right="165"/>
            </w:pPr>
            <w:r>
              <w:t>Утврђивање и објављивање у градском службеном гласилу коначног броја бирача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20. став 2. Закона о јединсвеном бирачком списку)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81"/>
            </w:pPr>
            <w:proofErr w:type="gramStart"/>
            <w:r>
              <w:t>одмах</w:t>
            </w:r>
            <w:proofErr w:type="gramEnd"/>
            <w:r>
              <w:t xml:space="preserve"> по истеку рока за пријем решења о променама у бирачком списку по закључењу бирачког списка, до 24.04.2020. године</w:t>
            </w:r>
          </w:p>
        </w:tc>
      </w:tr>
      <w:tr w:rsidR="000755BF">
        <w:trPr>
          <w:trHeight w:val="522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3635"/>
              <w:rPr>
                <w:b/>
              </w:rPr>
            </w:pPr>
            <w:r>
              <w:rPr>
                <w:b/>
              </w:rPr>
              <w:t>6. Спровођење избора</w:t>
            </w:r>
          </w:p>
        </w:tc>
      </w:tr>
      <w:tr w:rsidR="000755BF">
        <w:trPr>
          <w:trHeight w:val="1148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206" w:right="162"/>
              <w:jc w:val="center"/>
            </w:pPr>
            <w:r>
              <w:t>6.1.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749"/>
            </w:pPr>
            <w:r>
              <w:t>Достављање обавештења бирачима о дану и времену одржавања избора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54. став 1. Закон о избору народних посланика)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3"/>
              <w:ind w:left="44" w:right="113"/>
              <w:jc w:val="both"/>
            </w:pPr>
            <w:proofErr w:type="gramStart"/>
            <w:r>
              <w:t>најкасније</w:t>
            </w:r>
            <w:proofErr w:type="gramEnd"/>
            <w:r>
              <w:t xml:space="preserve"> пет дана пре дана избора, (односно најкасније до 20.04.2020.)</w:t>
            </w:r>
          </w:p>
        </w:tc>
      </w:tr>
      <w:tr w:rsidR="000755BF">
        <w:trPr>
          <w:trHeight w:val="657"/>
        </w:trPr>
        <w:tc>
          <w:tcPr>
            <w:tcW w:w="755" w:type="dxa"/>
          </w:tcPr>
          <w:p w:rsidR="000755BF" w:rsidRDefault="001A5B48">
            <w:pPr>
              <w:pStyle w:val="TableParagraph"/>
              <w:spacing w:before="198"/>
              <w:ind w:left="206" w:right="163"/>
              <w:jc w:val="center"/>
            </w:pPr>
            <w:r>
              <w:t>6.2.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2"/>
            </w:pPr>
            <w:r>
              <w:t>Предаја изборног материјала бирачким одборима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 w:line="250" w:lineRule="atLeast"/>
              <w:ind w:left="44" w:right="209"/>
            </w:pPr>
            <w:r>
              <w:t>најкасније 24 часа пре дана избора (односно до</w:t>
            </w:r>
          </w:p>
        </w:tc>
      </w:tr>
    </w:tbl>
    <w:p w:rsidR="000755BF" w:rsidRDefault="00EE04FB">
      <w:pPr>
        <w:rPr>
          <w:sz w:val="2"/>
          <w:szCs w:val="2"/>
        </w:rPr>
      </w:pPr>
      <w:r w:rsidRPr="00EE04FB">
        <w:pict>
          <v:rect id="_x0000_s1027" style="position:absolute;margin-left:151.6pt;margin-top:345.5pt;width:2.75pt;height:.55pt;z-index:-252320768;mso-position-horizontal-relative:page;mso-position-vertical-relative:page" fillcolor="#0101ff" stroked="f">
            <w10:wrap anchorx="page" anchory="page"/>
          </v:rect>
        </w:pict>
      </w:r>
      <w:r w:rsidRPr="00EE04FB">
        <w:pict>
          <v:line id="_x0000_s1026" style="position:absolute;z-index:251660288;mso-position-horizontal-relative:page;mso-position-vertical-relative:page" from="63.35pt,334.15pt" to="63.35pt,352.8pt" strokeweight=".72pt">
            <w10:wrap anchorx="page" anchory="page"/>
          </v:line>
        </w:pict>
      </w:r>
    </w:p>
    <w:p w:rsidR="000755BF" w:rsidRDefault="000755BF">
      <w:pPr>
        <w:rPr>
          <w:sz w:val="2"/>
          <w:szCs w:val="2"/>
        </w:rPr>
        <w:sectPr w:rsidR="000755BF">
          <w:pgSz w:w="12240" w:h="15840"/>
          <w:pgMar w:top="720" w:right="1300" w:bottom="280" w:left="12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5812"/>
        <w:gridCol w:w="2855"/>
      </w:tblGrid>
      <w:tr w:rsidR="000755BF">
        <w:trPr>
          <w:trHeight w:val="535"/>
        </w:trPr>
        <w:tc>
          <w:tcPr>
            <w:tcW w:w="755" w:type="dxa"/>
            <w:shd w:val="clear" w:color="auto" w:fill="D9D9D9"/>
          </w:tcPr>
          <w:p w:rsidR="000755BF" w:rsidRDefault="001A5B48">
            <w:pPr>
              <w:pStyle w:val="TableParagraph"/>
              <w:spacing w:before="12" w:line="250" w:lineRule="atLeast"/>
              <w:ind w:left="195" w:hanging="87"/>
            </w:pPr>
            <w:r>
              <w:rPr>
                <w:w w:val="95"/>
              </w:rPr>
              <w:lastRenderedPageBreak/>
              <w:t xml:space="preserve">Редни </w:t>
            </w:r>
            <w:r>
              <w:t>број</w:t>
            </w:r>
          </w:p>
        </w:tc>
        <w:tc>
          <w:tcPr>
            <w:tcW w:w="5812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2604" w:right="2564"/>
              <w:jc w:val="center"/>
            </w:pPr>
            <w:r>
              <w:t>Радња</w:t>
            </w:r>
          </w:p>
        </w:tc>
        <w:tc>
          <w:tcPr>
            <w:tcW w:w="2855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1250" w:right="1209"/>
              <w:jc w:val="center"/>
            </w:pPr>
            <w:r>
              <w:t>Рок</w:t>
            </w:r>
          </w:p>
        </w:tc>
      </w:tr>
      <w:tr w:rsidR="000755BF">
        <w:trPr>
          <w:trHeight w:val="403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29. став 1. Закон о локалним изборима)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2"/>
              <w:ind w:left="46"/>
            </w:pPr>
            <w:r>
              <w:t>24.04.2020 до у 24,оо)</w:t>
            </w:r>
          </w:p>
        </w:tc>
      </w:tr>
      <w:tr w:rsidR="000755BF">
        <w:trPr>
          <w:trHeight w:val="1534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31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6.3.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76" w:line="352" w:lineRule="auto"/>
              <w:ind w:left="43" w:right="667"/>
            </w:pPr>
            <w:r>
              <w:t>„Предизборна тишина” – забрана изборне пропаганде (члан 5. став 3. Закон о избору народних пославника)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31"/>
            </w:pPr>
            <w:r>
              <w:t>од 48 часова пре дана избора до затварања бирачких места на дан избора (од 23.04.2020. у 24,оо до 26.04.2020. у 24,оо)</w:t>
            </w:r>
          </w:p>
        </w:tc>
      </w:tr>
      <w:tr w:rsidR="000755BF">
        <w:trPr>
          <w:trHeight w:val="895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8"/>
              <w:rPr>
                <w:sz w:val="27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6.4.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5" w:line="370" w:lineRule="atLeast"/>
              <w:ind w:left="43" w:right="2314"/>
            </w:pPr>
            <w:r>
              <w:t>Отварање бирачких места и гласање (члан 56. став 1. ЗоИНП)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3"/>
              <w:ind w:left="44" w:right="495"/>
            </w:pPr>
            <w:r>
              <w:t>на дан избора од 7 до 20 часова</w:t>
            </w:r>
          </w:p>
        </w:tc>
      </w:tr>
      <w:tr w:rsidR="000755BF">
        <w:trPr>
          <w:trHeight w:val="523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2328"/>
              <w:rPr>
                <w:b/>
              </w:rPr>
            </w:pPr>
            <w:r>
              <w:rPr>
                <w:b/>
              </w:rPr>
              <w:t>7. Утврђивање и објављивање резултата избора</w:t>
            </w:r>
          </w:p>
        </w:tc>
      </w:tr>
      <w:tr w:rsidR="000755BF">
        <w:trPr>
          <w:trHeight w:val="1280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20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7.1.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spacing w:before="5"/>
            </w:pPr>
          </w:p>
          <w:p w:rsidR="000755BF" w:rsidRDefault="001A5B48">
            <w:pPr>
              <w:pStyle w:val="TableParagraph"/>
              <w:ind w:left="43" w:right="844"/>
              <w:jc w:val="both"/>
            </w:pPr>
            <w:r>
              <w:t xml:space="preserve">Утврђивање резултата гласања на бирачком месту и достављање изборног материјала </w:t>
            </w:r>
            <w:proofErr w:type="gramStart"/>
            <w:r>
              <w:t>Општинској  изборној</w:t>
            </w:r>
            <w:proofErr w:type="gramEnd"/>
            <w:r>
              <w:t xml:space="preserve"> комисији (члан38. став 1.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2"/>
              <w:ind w:left="44" w:right="253"/>
            </w:pPr>
            <w:r>
              <w:t>У року од осам часова од затварања бирачких места, односно до 27.04. до 04.00 часова</w:t>
            </w:r>
          </w:p>
        </w:tc>
      </w:tr>
      <w:tr w:rsidR="000755BF">
        <w:trPr>
          <w:trHeight w:val="128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20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7.2.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 w:right="380"/>
            </w:pPr>
            <w:r>
              <w:t>Утврђивање резултата избора од стране Општинске изборне комисије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39. став 1.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253"/>
            </w:pPr>
            <w:proofErr w:type="gramStart"/>
            <w:r>
              <w:t>у</w:t>
            </w:r>
            <w:proofErr w:type="gramEnd"/>
            <w:r>
              <w:t xml:space="preserve"> року од 24 часа од затварања бирачких места, односно до 27.04. </w:t>
            </w:r>
            <w:proofErr w:type="gramStart"/>
            <w:r>
              <w:t>у</w:t>
            </w:r>
            <w:proofErr w:type="gramEnd"/>
            <w:r>
              <w:t xml:space="preserve"> 20.00 часова.</w:t>
            </w:r>
          </w:p>
        </w:tc>
      </w:tr>
      <w:tr w:rsidR="000755BF">
        <w:trPr>
          <w:trHeight w:val="128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0755BF">
            <w:pPr>
              <w:pStyle w:val="TableParagraph"/>
              <w:spacing w:before="5"/>
              <w:rPr>
                <w:sz w:val="20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7.3.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98"/>
              <w:ind w:left="43" w:right="35"/>
            </w:pPr>
            <w:r>
              <w:t>Расподела одборничких мандата применом система највећег количника</w:t>
            </w:r>
          </w:p>
          <w:p w:rsidR="000755BF" w:rsidRDefault="001A5B48">
            <w:pPr>
              <w:pStyle w:val="TableParagraph"/>
              <w:spacing w:before="12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41. став 4.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3"/>
              <w:ind w:left="44" w:right="253"/>
            </w:pPr>
            <w:proofErr w:type="gramStart"/>
            <w:r>
              <w:t>у</w:t>
            </w:r>
            <w:proofErr w:type="gramEnd"/>
            <w:r>
              <w:t xml:space="preserve"> року од 24 часа од затварања бирачких места, односно до 27.04. </w:t>
            </w:r>
            <w:proofErr w:type="gramStart"/>
            <w:r>
              <w:t>у</w:t>
            </w:r>
            <w:proofErr w:type="gramEnd"/>
            <w:r>
              <w:t xml:space="preserve"> 20.00 часова.</w:t>
            </w:r>
          </w:p>
        </w:tc>
      </w:tr>
      <w:tr w:rsidR="000755BF">
        <w:trPr>
          <w:trHeight w:val="104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34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7.4.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8"/>
              <w:ind w:left="43" w:right="633"/>
            </w:pPr>
            <w:r>
              <w:t>Објављивање резултата избора у Општинском  службеном гласилу</w:t>
            </w:r>
          </w:p>
          <w:p w:rsidR="000755BF" w:rsidRDefault="001A5B48">
            <w:pPr>
              <w:pStyle w:val="TableParagraph"/>
              <w:spacing w:before="1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44.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2"/>
              <w:ind w:left="44" w:right="253"/>
            </w:pPr>
            <w:r>
              <w:t>у року од 24 часа од затварања бирачких места,</w:t>
            </w:r>
          </w:p>
          <w:p w:rsidR="000755BF" w:rsidRDefault="001A5B48">
            <w:pPr>
              <w:pStyle w:val="TableParagraph"/>
              <w:spacing w:before="5" w:line="252" w:lineRule="exact"/>
              <w:ind w:left="44" w:right="404"/>
            </w:pPr>
            <w:proofErr w:type="gramStart"/>
            <w:r>
              <w:t>односно</w:t>
            </w:r>
            <w:proofErr w:type="gramEnd"/>
            <w:r>
              <w:t xml:space="preserve"> до 27.04. </w:t>
            </w:r>
            <w:proofErr w:type="gramStart"/>
            <w:r>
              <w:t>у</w:t>
            </w:r>
            <w:proofErr w:type="gramEnd"/>
            <w:r>
              <w:t xml:space="preserve"> 20.00 часова.</w:t>
            </w:r>
          </w:p>
        </w:tc>
      </w:tr>
      <w:tr w:rsidR="000755BF">
        <w:trPr>
          <w:trHeight w:val="1041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34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7.5.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/>
              <w:ind w:left="43" w:right="37"/>
            </w:pPr>
            <w:r>
              <w:t>Увид представника подносилаца изборних листа и кандидата за одборнике у изборни материјал у просторијама Општинске  изборне комисије</w:t>
            </w:r>
          </w:p>
          <w:p w:rsidR="000755BF" w:rsidRDefault="001A5B48">
            <w:pPr>
              <w:pStyle w:val="TableParagraph"/>
              <w:spacing w:line="249" w:lineRule="exact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32.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8"/>
              <w:ind w:left="44" w:right="161"/>
            </w:pPr>
            <w:proofErr w:type="gramStart"/>
            <w:r>
              <w:t>у</w:t>
            </w:r>
            <w:proofErr w:type="gramEnd"/>
            <w:r>
              <w:t xml:space="preserve"> року од пет дана од дана одржавања избора, односно до 01.05. у 24.00 часова</w:t>
            </w:r>
          </w:p>
        </w:tc>
      </w:tr>
      <w:tr w:rsidR="000755BF">
        <w:trPr>
          <w:trHeight w:val="283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4" w:line="250" w:lineRule="exact"/>
              <w:ind w:left="3386"/>
              <w:rPr>
                <w:b/>
              </w:rPr>
            </w:pPr>
            <w:r>
              <w:rPr>
                <w:b/>
              </w:rPr>
              <w:t>8. Заштита изборног права</w:t>
            </w:r>
          </w:p>
        </w:tc>
      </w:tr>
      <w:tr w:rsidR="000755BF">
        <w:trPr>
          <w:trHeight w:val="1029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  <w:rPr>
                <w:sz w:val="3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8.1.</w:t>
            </w:r>
          </w:p>
        </w:tc>
        <w:tc>
          <w:tcPr>
            <w:tcW w:w="5812" w:type="dxa"/>
          </w:tcPr>
          <w:p w:rsidR="000755BF" w:rsidRDefault="000755BF">
            <w:pPr>
              <w:pStyle w:val="TableParagraph"/>
              <w:spacing w:before="5"/>
            </w:pPr>
          </w:p>
          <w:p w:rsidR="000755BF" w:rsidRDefault="001A5B48">
            <w:pPr>
              <w:pStyle w:val="TableParagraph"/>
              <w:ind w:left="43" w:right="898"/>
            </w:pPr>
            <w:r>
              <w:t>Подношење приговора Општинској  изборној комисији (члан 52. став 2.ЗоЛИ)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2"/>
              <w:ind w:left="44" w:right="35"/>
            </w:pPr>
            <w:r>
              <w:t>у року од 24 часа од дана кад је донета одлука, извршена радња или учињен пропуст</w:t>
            </w:r>
          </w:p>
        </w:tc>
      </w:tr>
      <w:tr w:rsidR="000755BF">
        <w:trPr>
          <w:trHeight w:val="775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8.2.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1259"/>
            </w:pPr>
            <w:r>
              <w:t>Доношење и достављање решења по приговору (члан53. став 1.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2"/>
              <w:ind w:left="44" w:right="672"/>
            </w:pPr>
            <w:r>
              <w:t>у року од 48 часова од пријема приговора</w:t>
            </w:r>
          </w:p>
        </w:tc>
      </w:tr>
      <w:tr w:rsidR="000755BF">
        <w:trPr>
          <w:trHeight w:val="789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3"/>
              </w:rPr>
            </w:pPr>
          </w:p>
          <w:p w:rsidR="000755BF" w:rsidRDefault="001A5B48">
            <w:pPr>
              <w:pStyle w:val="TableParagraph"/>
              <w:ind w:left="206" w:right="162"/>
              <w:jc w:val="center"/>
            </w:pPr>
            <w:r>
              <w:t>8.3.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"/>
              <w:ind w:left="43" w:right="520"/>
            </w:pPr>
            <w:r>
              <w:t>Жалба Управном суду против решења Општинске изборне комисије по</w:t>
            </w:r>
            <w:r>
              <w:rPr>
                <w:spacing w:val="-1"/>
              </w:rPr>
              <w:t xml:space="preserve"> </w:t>
            </w:r>
            <w:r>
              <w:t>приговору</w:t>
            </w:r>
          </w:p>
          <w:p w:rsidR="000755BF" w:rsidRDefault="001A5B48">
            <w:pPr>
              <w:pStyle w:val="TableParagraph"/>
              <w:spacing w:line="250" w:lineRule="exact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54. став 1.</w:t>
            </w:r>
            <w:r>
              <w:rPr>
                <w:spacing w:val="-4"/>
              </w:rPr>
              <w:t xml:space="preserve"> </w:t>
            </w:r>
            <w:r>
              <w:t>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8"/>
              <w:ind w:left="44" w:right="857"/>
            </w:pPr>
            <w:r>
              <w:t>у року од 24 часа од достављања решења</w:t>
            </w:r>
          </w:p>
        </w:tc>
      </w:tr>
      <w:tr w:rsidR="000755BF">
        <w:trPr>
          <w:trHeight w:val="1042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34"/>
              </w:rPr>
            </w:pPr>
          </w:p>
          <w:p w:rsidR="000755BF" w:rsidRDefault="001A5B48">
            <w:pPr>
              <w:pStyle w:val="TableParagraph"/>
              <w:spacing w:before="1"/>
              <w:ind w:left="206" w:right="162"/>
              <w:jc w:val="center"/>
            </w:pPr>
            <w:r>
              <w:t>8.4.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/>
              <w:ind w:left="43" w:right="554"/>
            </w:pPr>
            <w:r>
              <w:t>Достављање свих потребних података и списа за одлучивање Управном суду од стране Општинске изборне комисије</w:t>
            </w:r>
          </w:p>
          <w:p w:rsidR="000755BF" w:rsidRDefault="001A5B48">
            <w:pPr>
              <w:pStyle w:val="TableParagraph"/>
              <w:spacing w:line="251" w:lineRule="exact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54. став2. ЗоЛИ)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3"/>
              </w:rPr>
            </w:pPr>
          </w:p>
          <w:p w:rsidR="000755BF" w:rsidRDefault="001A5B48">
            <w:pPr>
              <w:pStyle w:val="TableParagraph"/>
              <w:ind w:left="44" w:right="37"/>
            </w:pPr>
            <w:r>
              <w:t>одмах, а најкасније у року од 12 часова</w:t>
            </w:r>
          </w:p>
        </w:tc>
      </w:tr>
    </w:tbl>
    <w:p w:rsidR="000755BF" w:rsidRDefault="000755BF">
      <w:pPr>
        <w:sectPr w:rsidR="000755BF">
          <w:pgSz w:w="12240" w:h="15840"/>
          <w:pgMar w:top="720" w:right="1300" w:bottom="280" w:left="12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5812"/>
        <w:gridCol w:w="2855"/>
      </w:tblGrid>
      <w:tr w:rsidR="000755BF">
        <w:trPr>
          <w:trHeight w:val="535"/>
        </w:trPr>
        <w:tc>
          <w:tcPr>
            <w:tcW w:w="755" w:type="dxa"/>
            <w:shd w:val="clear" w:color="auto" w:fill="D9D9D9"/>
          </w:tcPr>
          <w:p w:rsidR="000755BF" w:rsidRDefault="001A5B48">
            <w:pPr>
              <w:pStyle w:val="TableParagraph"/>
              <w:spacing w:before="12" w:line="250" w:lineRule="atLeast"/>
              <w:ind w:left="195" w:hanging="87"/>
            </w:pPr>
            <w:r>
              <w:rPr>
                <w:w w:val="95"/>
              </w:rPr>
              <w:lastRenderedPageBreak/>
              <w:t xml:space="preserve">Редни </w:t>
            </w:r>
            <w:r>
              <w:t>број</w:t>
            </w:r>
          </w:p>
        </w:tc>
        <w:tc>
          <w:tcPr>
            <w:tcW w:w="5812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2604" w:right="2564"/>
              <w:jc w:val="center"/>
            </w:pPr>
            <w:r>
              <w:t>Радња</w:t>
            </w:r>
          </w:p>
        </w:tc>
        <w:tc>
          <w:tcPr>
            <w:tcW w:w="2855" w:type="dxa"/>
            <w:shd w:val="clear" w:color="auto" w:fill="D9D9D9"/>
          </w:tcPr>
          <w:p w:rsidR="000755BF" w:rsidRDefault="001A5B48">
            <w:pPr>
              <w:pStyle w:val="TableParagraph"/>
              <w:spacing w:before="138"/>
              <w:ind w:left="1250" w:right="1209"/>
              <w:jc w:val="center"/>
            </w:pPr>
            <w:r>
              <w:t>Рок</w:t>
            </w:r>
          </w:p>
        </w:tc>
      </w:tr>
      <w:tr w:rsidR="000755BF">
        <w:trPr>
          <w:trHeight w:val="775"/>
        </w:trPr>
        <w:tc>
          <w:tcPr>
            <w:tcW w:w="755" w:type="dxa"/>
          </w:tcPr>
          <w:p w:rsidR="000755BF" w:rsidRDefault="000755BF">
            <w:pPr>
              <w:pStyle w:val="TableParagraph"/>
              <w:spacing w:before="5"/>
            </w:pPr>
          </w:p>
          <w:p w:rsidR="000755BF" w:rsidRDefault="001A5B48">
            <w:pPr>
              <w:pStyle w:val="TableParagraph"/>
              <w:ind w:left="226"/>
            </w:pPr>
            <w:r>
              <w:t>8.5.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3094"/>
            </w:pPr>
            <w:r>
              <w:t>Доношење одлуке по жалби (члан 54. став 4.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2"/>
              <w:ind w:left="44" w:right="192"/>
            </w:pPr>
            <w:r>
              <w:t>у року од 48 часова од дана пријема жалбе са списима</w:t>
            </w:r>
          </w:p>
        </w:tc>
      </w:tr>
      <w:tr w:rsidR="000755BF">
        <w:trPr>
          <w:trHeight w:val="523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>
            <w:pPr>
              <w:pStyle w:val="TableParagraph"/>
              <w:spacing w:before="134"/>
              <w:ind w:left="1667"/>
              <w:rPr>
                <w:b/>
              </w:rPr>
            </w:pPr>
            <w:r>
              <w:rPr>
                <w:b/>
              </w:rPr>
              <w:t>9. Додела мандата и издавање уверења о избору за одборника</w:t>
            </w:r>
          </w:p>
        </w:tc>
      </w:tr>
      <w:tr w:rsidR="000755BF">
        <w:trPr>
          <w:trHeight w:val="1149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4"/>
              </w:rPr>
            </w:pPr>
          </w:p>
          <w:p w:rsidR="000755BF" w:rsidRDefault="001A5B48">
            <w:pPr>
              <w:pStyle w:val="TableParagraph"/>
              <w:spacing w:before="168"/>
              <w:ind w:left="226"/>
            </w:pPr>
            <w:r>
              <w:t>9.1.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2"/>
              <w:ind w:left="43" w:right="51"/>
            </w:pPr>
            <w:r>
              <w:t>Додела мандата кандидатима са изборне листе по редоследу на изборној листи, почев од првог кандидата са листе</w:t>
            </w:r>
          </w:p>
          <w:p w:rsidR="000755BF" w:rsidRDefault="001A5B48">
            <w:pPr>
              <w:pStyle w:val="TableParagraph"/>
              <w:spacing w:before="120"/>
              <w:ind w:left="43"/>
            </w:pPr>
            <w:r>
              <w:t>(</w:t>
            </w:r>
            <w:proofErr w:type="gramStart"/>
            <w:r>
              <w:t>члан</w:t>
            </w:r>
            <w:proofErr w:type="gramEnd"/>
            <w:r>
              <w:t xml:space="preserve"> 43.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92"/>
              <w:ind w:left="44" w:right="104"/>
            </w:pPr>
            <w:r>
              <w:t>у року од десет дана од дана објављивања укупних резултата избора</w:t>
            </w:r>
          </w:p>
        </w:tc>
      </w:tr>
      <w:tr w:rsidR="000755BF">
        <w:trPr>
          <w:trHeight w:val="535"/>
        </w:trPr>
        <w:tc>
          <w:tcPr>
            <w:tcW w:w="755" w:type="dxa"/>
          </w:tcPr>
          <w:p w:rsidR="000755BF" w:rsidRDefault="001A5B48">
            <w:pPr>
              <w:pStyle w:val="TableParagraph"/>
              <w:spacing w:before="138"/>
              <w:ind w:left="226"/>
            </w:pPr>
            <w:r>
              <w:t>9.2.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2" w:line="250" w:lineRule="atLeast"/>
              <w:ind w:left="43" w:right="1834"/>
            </w:pPr>
            <w:r>
              <w:t>Издавање уверења о избору за одборника (члан 45. ЗоЛИ)</w:t>
            </w:r>
          </w:p>
        </w:tc>
        <w:tc>
          <w:tcPr>
            <w:tcW w:w="2855" w:type="dxa"/>
          </w:tcPr>
          <w:p w:rsidR="000755BF" w:rsidRDefault="001A5B48">
            <w:pPr>
              <w:pStyle w:val="TableParagraph"/>
              <w:spacing w:before="138"/>
              <w:ind w:left="44"/>
            </w:pPr>
            <w:r>
              <w:t>одмах по додели мандата</w:t>
            </w:r>
          </w:p>
        </w:tc>
      </w:tr>
      <w:tr w:rsidR="000755BF">
        <w:trPr>
          <w:trHeight w:val="522"/>
        </w:trPr>
        <w:tc>
          <w:tcPr>
            <w:tcW w:w="9422" w:type="dxa"/>
            <w:gridSpan w:val="3"/>
            <w:shd w:val="clear" w:color="auto" w:fill="D9D9D9"/>
          </w:tcPr>
          <w:p w:rsidR="000755BF" w:rsidRDefault="001A5B48" w:rsidP="001A5B48">
            <w:pPr>
              <w:pStyle w:val="TableParagraph"/>
              <w:spacing w:before="134"/>
              <w:ind w:left="2482"/>
              <w:rPr>
                <w:b/>
              </w:rPr>
            </w:pPr>
            <w:r>
              <w:rPr>
                <w:b/>
              </w:rPr>
              <w:t>10. Извештавање Скупштине општине</w:t>
            </w:r>
          </w:p>
        </w:tc>
      </w:tr>
      <w:tr w:rsidR="000755BF">
        <w:trPr>
          <w:trHeight w:val="790"/>
        </w:trPr>
        <w:tc>
          <w:tcPr>
            <w:tcW w:w="755" w:type="dxa"/>
          </w:tcPr>
          <w:p w:rsidR="000755BF" w:rsidRDefault="000755BF">
            <w:pPr>
              <w:pStyle w:val="TableParagraph"/>
              <w:rPr>
                <w:sz w:val="23"/>
              </w:rPr>
            </w:pPr>
          </w:p>
          <w:p w:rsidR="000755BF" w:rsidRDefault="001A5B48">
            <w:pPr>
              <w:pStyle w:val="TableParagraph"/>
              <w:ind w:left="171"/>
            </w:pPr>
            <w:r>
              <w:t>10.1.</w:t>
            </w:r>
          </w:p>
        </w:tc>
        <w:tc>
          <w:tcPr>
            <w:tcW w:w="5812" w:type="dxa"/>
          </w:tcPr>
          <w:p w:rsidR="000755BF" w:rsidRDefault="001A5B48">
            <w:pPr>
              <w:pStyle w:val="TableParagraph"/>
              <w:spacing w:before="13"/>
              <w:ind w:left="43" w:right="395"/>
            </w:pPr>
            <w:r>
              <w:t>Подношење извештаја Скупштини општине о спроведеним изборима</w:t>
            </w:r>
          </w:p>
          <w:p w:rsidR="000755BF" w:rsidRDefault="001A5B48">
            <w:pPr>
              <w:pStyle w:val="TableParagraph"/>
              <w:spacing w:line="251" w:lineRule="exact"/>
              <w:ind w:left="43"/>
            </w:pPr>
            <w:r>
              <w:t>(члан 15. став 1. тачка10) ЗоЛИ)</w:t>
            </w:r>
          </w:p>
        </w:tc>
        <w:tc>
          <w:tcPr>
            <w:tcW w:w="2855" w:type="dxa"/>
          </w:tcPr>
          <w:p w:rsidR="000755BF" w:rsidRDefault="000755BF">
            <w:pPr>
              <w:pStyle w:val="TableParagraph"/>
              <w:rPr>
                <w:sz w:val="23"/>
              </w:rPr>
            </w:pPr>
          </w:p>
          <w:p w:rsidR="000755BF" w:rsidRDefault="001A5B48">
            <w:pPr>
              <w:pStyle w:val="TableParagraph"/>
              <w:ind w:left="44"/>
            </w:pPr>
            <w:r>
              <w:t>по додели мандата</w:t>
            </w:r>
          </w:p>
        </w:tc>
      </w:tr>
    </w:tbl>
    <w:p w:rsidR="000755BF" w:rsidRDefault="000755BF">
      <w:pPr>
        <w:pStyle w:val="BodyText"/>
        <w:spacing w:before="1"/>
        <w:rPr>
          <w:sz w:val="23"/>
        </w:rPr>
      </w:pPr>
    </w:p>
    <w:p w:rsidR="000755BF" w:rsidRDefault="001A5B48">
      <w:pPr>
        <w:pStyle w:val="ListParagraph"/>
        <w:numPr>
          <w:ilvl w:val="0"/>
          <w:numId w:val="2"/>
        </w:numPr>
        <w:tabs>
          <w:tab w:val="left" w:pos="1373"/>
        </w:tabs>
        <w:spacing w:before="90"/>
        <w:ind w:left="1372" w:hanging="221"/>
      </w:pPr>
      <w:r>
        <w:t>Овај роковник објавити на званичној интернет презентацији оптшине Рача.</w:t>
      </w:r>
    </w:p>
    <w:p w:rsidR="000755BF" w:rsidRDefault="000755BF">
      <w:pPr>
        <w:pStyle w:val="BodyText"/>
        <w:rPr>
          <w:sz w:val="20"/>
        </w:rPr>
      </w:pPr>
    </w:p>
    <w:p w:rsidR="000755BF" w:rsidRDefault="000755BF">
      <w:pPr>
        <w:pStyle w:val="BodyText"/>
        <w:spacing w:before="6"/>
        <w:rPr>
          <w:sz w:val="25"/>
        </w:rPr>
      </w:pPr>
    </w:p>
    <w:p w:rsidR="000755BF" w:rsidRDefault="000755BF">
      <w:pPr>
        <w:rPr>
          <w:sz w:val="25"/>
        </w:rPr>
        <w:sectPr w:rsidR="000755BF">
          <w:pgSz w:w="12240" w:h="15840"/>
          <w:pgMar w:top="720" w:right="1300" w:bottom="280" w:left="1280" w:header="720" w:footer="720" w:gutter="0"/>
          <w:cols w:space="720"/>
        </w:sectPr>
      </w:pPr>
    </w:p>
    <w:p w:rsidR="00E0320C" w:rsidRDefault="00E0320C" w:rsidP="00E0320C">
      <w:pPr>
        <w:pStyle w:val="Heading1"/>
        <w:spacing w:before="90"/>
        <w:ind w:left="652" w:right="-2329" w:firstLine="720"/>
        <w:jc w:val="left"/>
      </w:pPr>
      <w:r>
        <w:lastRenderedPageBreak/>
        <w:t xml:space="preserve">                            Општинска</w:t>
      </w:r>
      <w:r w:rsidR="001A5B48">
        <w:t xml:space="preserve"> изборна</w:t>
      </w:r>
      <w:r w:rsidR="001A5B48">
        <w:rPr>
          <w:spacing w:val="-13"/>
        </w:rPr>
        <w:t xml:space="preserve"> </w:t>
      </w:r>
      <w:r w:rsidR="001A5B48">
        <w:t>Комисија</w:t>
      </w:r>
      <w:r>
        <w:t xml:space="preserve"> општине Рача</w:t>
      </w:r>
    </w:p>
    <w:p w:rsidR="000755BF" w:rsidRDefault="001A5B48" w:rsidP="00E0320C">
      <w:pPr>
        <w:pStyle w:val="Heading1"/>
        <w:spacing w:before="90"/>
        <w:ind w:left="0"/>
        <w:jc w:val="left"/>
      </w:pPr>
      <w:r>
        <w:t xml:space="preserve"> Број:</w:t>
      </w:r>
      <w:r>
        <w:rPr>
          <w:spacing w:val="-1"/>
        </w:rPr>
        <w:t xml:space="preserve"> </w:t>
      </w:r>
      <w:r>
        <w:t>013-30/20-I/01</w:t>
      </w:r>
    </w:p>
    <w:p w:rsidR="000755BF" w:rsidRPr="001A5B48" w:rsidRDefault="001A5B48" w:rsidP="00E0320C">
      <w:pPr>
        <w:spacing w:before="1"/>
        <w:ind w:right="98"/>
        <w:rPr>
          <w:b/>
        </w:rPr>
      </w:pPr>
      <w:r>
        <w:rPr>
          <w:b/>
        </w:rPr>
        <w:t xml:space="preserve">Датум: 09.03.2020.године </w:t>
      </w:r>
    </w:p>
    <w:p w:rsidR="00E0320C" w:rsidRDefault="00E0320C">
      <w:pPr>
        <w:pStyle w:val="BodyText"/>
      </w:pPr>
    </w:p>
    <w:p w:rsidR="00E0320C" w:rsidRDefault="00E0320C">
      <w:pPr>
        <w:pStyle w:val="BodyText"/>
      </w:pPr>
    </w:p>
    <w:p w:rsidR="00E0320C" w:rsidRPr="00E0320C" w:rsidRDefault="00E0320C" w:rsidP="00E0320C">
      <w:pPr>
        <w:pStyle w:val="BodyText"/>
        <w:tabs>
          <w:tab w:val="left" w:pos="7225"/>
        </w:tabs>
        <w:rPr>
          <w:b/>
        </w:rPr>
      </w:pPr>
      <w:r>
        <w:tab/>
        <w:t xml:space="preserve"> </w:t>
      </w:r>
      <w:r w:rsidRPr="00E0320C">
        <w:rPr>
          <w:b/>
        </w:rPr>
        <w:t>ПРЕДСЕДНИК</w:t>
      </w:r>
    </w:p>
    <w:p w:rsidR="00E0320C" w:rsidRPr="00E0320C" w:rsidRDefault="00E0320C" w:rsidP="00E0320C">
      <w:pPr>
        <w:pStyle w:val="BodyText"/>
        <w:tabs>
          <w:tab w:val="left" w:pos="7225"/>
        </w:tabs>
        <w:rPr>
          <w:b/>
        </w:rPr>
      </w:pPr>
      <w:r w:rsidRPr="00E0320C">
        <w:rPr>
          <w:b/>
        </w:rPr>
        <w:tab/>
        <w:t>Немања Лугавац</w:t>
      </w:r>
    </w:p>
    <w:p w:rsidR="002B1FAE" w:rsidRDefault="002B1FAE">
      <w:pPr>
        <w:pStyle w:val="BodyText"/>
        <w:rPr>
          <w:b/>
        </w:rPr>
      </w:pPr>
    </w:p>
    <w:p w:rsidR="002B1FAE" w:rsidRPr="002B1FAE" w:rsidRDefault="002B1FAE" w:rsidP="002B1FAE"/>
    <w:p w:rsidR="002B1FAE" w:rsidRPr="002B1FAE" w:rsidRDefault="002B1FAE" w:rsidP="002B1FAE"/>
    <w:p w:rsidR="002B1FAE" w:rsidRPr="002B1FAE" w:rsidRDefault="002B1FAE" w:rsidP="002B1FAE"/>
    <w:p w:rsidR="002B1FAE" w:rsidRPr="002B1FAE" w:rsidRDefault="002B1FAE" w:rsidP="002B1FAE"/>
    <w:p w:rsidR="002B1FAE" w:rsidRDefault="002B1FAE">
      <w:pPr>
        <w:pStyle w:val="BodyText"/>
      </w:pPr>
    </w:p>
    <w:p w:rsidR="000755BF" w:rsidRPr="001A5B48" w:rsidRDefault="000755BF">
      <w:pPr>
        <w:ind w:left="900"/>
        <w:rPr>
          <w:b/>
        </w:rPr>
      </w:pPr>
    </w:p>
    <w:sectPr w:rsidR="000755BF" w:rsidRPr="001A5B48" w:rsidSect="00E0320C">
      <w:type w:val="continuous"/>
      <w:pgSz w:w="12240" w:h="15840"/>
      <w:pgMar w:top="640" w:right="1300" w:bottom="280" w:left="1280" w:header="720" w:footer="720" w:gutter="0"/>
      <w:cols w:space="720" w:equalWidth="0">
        <w:col w:w="9660" w:space="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94299"/>
    <w:multiLevelType w:val="hybridMultilevel"/>
    <w:tmpl w:val="447E2768"/>
    <w:lvl w:ilvl="0" w:tplc="22E406A0">
      <w:start w:val="1"/>
      <w:numFmt w:val="decimal"/>
      <w:lvlText w:val="%1."/>
      <w:lvlJc w:val="left"/>
      <w:pPr>
        <w:ind w:left="159" w:hanging="27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E6EA6CA">
      <w:numFmt w:val="bullet"/>
      <w:lvlText w:val="•"/>
      <w:lvlJc w:val="left"/>
      <w:pPr>
        <w:ind w:left="1110" w:hanging="278"/>
      </w:pPr>
      <w:rPr>
        <w:rFonts w:hint="default"/>
      </w:rPr>
    </w:lvl>
    <w:lvl w:ilvl="2" w:tplc="1D2A440E">
      <w:numFmt w:val="bullet"/>
      <w:lvlText w:val="•"/>
      <w:lvlJc w:val="left"/>
      <w:pPr>
        <w:ind w:left="2060" w:hanging="278"/>
      </w:pPr>
      <w:rPr>
        <w:rFonts w:hint="default"/>
      </w:rPr>
    </w:lvl>
    <w:lvl w:ilvl="3" w:tplc="2DB27004">
      <w:numFmt w:val="bullet"/>
      <w:lvlText w:val="•"/>
      <w:lvlJc w:val="left"/>
      <w:pPr>
        <w:ind w:left="3010" w:hanging="278"/>
      </w:pPr>
      <w:rPr>
        <w:rFonts w:hint="default"/>
      </w:rPr>
    </w:lvl>
    <w:lvl w:ilvl="4" w:tplc="ECA28202">
      <w:numFmt w:val="bullet"/>
      <w:lvlText w:val="•"/>
      <w:lvlJc w:val="left"/>
      <w:pPr>
        <w:ind w:left="3960" w:hanging="278"/>
      </w:pPr>
      <w:rPr>
        <w:rFonts w:hint="default"/>
      </w:rPr>
    </w:lvl>
    <w:lvl w:ilvl="5" w:tplc="2FBC8846">
      <w:numFmt w:val="bullet"/>
      <w:lvlText w:val="•"/>
      <w:lvlJc w:val="left"/>
      <w:pPr>
        <w:ind w:left="4910" w:hanging="278"/>
      </w:pPr>
      <w:rPr>
        <w:rFonts w:hint="default"/>
      </w:rPr>
    </w:lvl>
    <w:lvl w:ilvl="6" w:tplc="550038E2">
      <w:numFmt w:val="bullet"/>
      <w:lvlText w:val="•"/>
      <w:lvlJc w:val="left"/>
      <w:pPr>
        <w:ind w:left="5860" w:hanging="278"/>
      </w:pPr>
      <w:rPr>
        <w:rFonts w:hint="default"/>
      </w:rPr>
    </w:lvl>
    <w:lvl w:ilvl="7" w:tplc="A078A6B8">
      <w:numFmt w:val="bullet"/>
      <w:lvlText w:val="•"/>
      <w:lvlJc w:val="left"/>
      <w:pPr>
        <w:ind w:left="6810" w:hanging="278"/>
      </w:pPr>
      <w:rPr>
        <w:rFonts w:hint="default"/>
      </w:rPr>
    </w:lvl>
    <w:lvl w:ilvl="8" w:tplc="53AA1936">
      <w:numFmt w:val="bullet"/>
      <w:lvlText w:val="•"/>
      <w:lvlJc w:val="left"/>
      <w:pPr>
        <w:ind w:left="7760" w:hanging="278"/>
      </w:pPr>
      <w:rPr>
        <w:rFonts w:hint="default"/>
      </w:rPr>
    </w:lvl>
  </w:abstractNum>
  <w:abstractNum w:abstractNumId="1">
    <w:nsid w:val="75C43BCB"/>
    <w:multiLevelType w:val="hybridMultilevel"/>
    <w:tmpl w:val="141827CA"/>
    <w:lvl w:ilvl="0" w:tplc="F6408850">
      <w:numFmt w:val="bullet"/>
      <w:lvlText w:val="–"/>
      <w:lvlJc w:val="left"/>
      <w:pPr>
        <w:ind w:left="159" w:hanging="29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4A8EED8">
      <w:numFmt w:val="bullet"/>
      <w:lvlText w:val="•"/>
      <w:lvlJc w:val="left"/>
      <w:pPr>
        <w:ind w:left="1110" w:hanging="293"/>
      </w:pPr>
      <w:rPr>
        <w:rFonts w:hint="default"/>
      </w:rPr>
    </w:lvl>
    <w:lvl w:ilvl="2" w:tplc="5492F574">
      <w:numFmt w:val="bullet"/>
      <w:lvlText w:val="•"/>
      <w:lvlJc w:val="left"/>
      <w:pPr>
        <w:ind w:left="2060" w:hanging="293"/>
      </w:pPr>
      <w:rPr>
        <w:rFonts w:hint="default"/>
      </w:rPr>
    </w:lvl>
    <w:lvl w:ilvl="3" w:tplc="22D25608">
      <w:numFmt w:val="bullet"/>
      <w:lvlText w:val="•"/>
      <w:lvlJc w:val="left"/>
      <w:pPr>
        <w:ind w:left="3010" w:hanging="293"/>
      </w:pPr>
      <w:rPr>
        <w:rFonts w:hint="default"/>
      </w:rPr>
    </w:lvl>
    <w:lvl w:ilvl="4" w:tplc="DDCEA5F2">
      <w:numFmt w:val="bullet"/>
      <w:lvlText w:val="•"/>
      <w:lvlJc w:val="left"/>
      <w:pPr>
        <w:ind w:left="3960" w:hanging="293"/>
      </w:pPr>
      <w:rPr>
        <w:rFonts w:hint="default"/>
      </w:rPr>
    </w:lvl>
    <w:lvl w:ilvl="5" w:tplc="B6B619AE">
      <w:numFmt w:val="bullet"/>
      <w:lvlText w:val="•"/>
      <w:lvlJc w:val="left"/>
      <w:pPr>
        <w:ind w:left="4910" w:hanging="293"/>
      </w:pPr>
      <w:rPr>
        <w:rFonts w:hint="default"/>
      </w:rPr>
    </w:lvl>
    <w:lvl w:ilvl="6" w:tplc="7764AB92">
      <w:numFmt w:val="bullet"/>
      <w:lvlText w:val="•"/>
      <w:lvlJc w:val="left"/>
      <w:pPr>
        <w:ind w:left="5860" w:hanging="293"/>
      </w:pPr>
      <w:rPr>
        <w:rFonts w:hint="default"/>
      </w:rPr>
    </w:lvl>
    <w:lvl w:ilvl="7" w:tplc="9790F08E">
      <w:numFmt w:val="bullet"/>
      <w:lvlText w:val="•"/>
      <w:lvlJc w:val="left"/>
      <w:pPr>
        <w:ind w:left="6810" w:hanging="293"/>
      </w:pPr>
      <w:rPr>
        <w:rFonts w:hint="default"/>
      </w:rPr>
    </w:lvl>
    <w:lvl w:ilvl="8" w:tplc="FB3CB8D8">
      <w:numFmt w:val="bullet"/>
      <w:lvlText w:val="•"/>
      <w:lvlJc w:val="left"/>
      <w:pPr>
        <w:ind w:left="7760" w:hanging="2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55BF"/>
    <w:rsid w:val="00043999"/>
    <w:rsid w:val="000755BF"/>
    <w:rsid w:val="001A5B48"/>
    <w:rsid w:val="002B1FAE"/>
    <w:rsid w:val="0055770A"/>
    <w:rsid w:val="008F67F6"/>
    <w:rsid w:val="009C6F74"/>
    <w:rsid w:val="009D251E"/>
    <w:rsid w:val="00A764BF"/>
    <w:rsid w:val="00E0320C"/>
    <w:rsid w:val="00EE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55B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755BF"/>
    <w:pPr>
      <w:ind w:left="9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55BF"/>
  </w:style>
  <w:style w:type="paragraph" w:styleId="ListParagraph">
    <w:name w:val="List Paragraph"/>
    <w:basedOn w:val="Normal"/>
    <w:uiPriority w:val="1"/>
    <w:qFormat/>
    <w:rsid w:val="000755BF"/>
    <w:pPr>
      <w:spacing w:before="119"/>
      <w:ind w:left="159" w:firstLine="992"/>
      <w:jc w:val="both"/>
    </w:pPr>
  </w:style>
  <w:style w:type="paragraph" w:customStyle="1" w:styleId="TableParagraph">
    <w:name w:val="Table Paragraph"/>
    <w:basedOn w:val="Normal"/>
    <w:uiPriority w:val="1"/>
    <w:qFormat/>
    <w:rsid w:val="000755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15</vt:lpstr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15</dc:title>
  <dc:creator>sg</dc:creator>
  <cp:lastModifiedBy>Kabinet</cp:lastModifiedBy>
  <cp:revision>2</cp:revision>
  <dcterms:created xsi:type="dcterms:W3CDTF">2020-03-10T15:10:00Z</dcterms:created>
  <dcterms:modified xsi:type="dcterms:W3CDTF">2020-03-10T15:10:00Z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2020-03-09T00:00:00Z</vt:filetime>
  </property>
</Properties>
</file>